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3BB59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EBA1A35">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BB726AE">
            <w:pPr>
              <w:pStyle w:val="19"/>
              <w:framePr w:wrap="notBeside" w:vAnchor="page" w:hAnchor="page" w:x="1372" w:y="568"/>
              <w:tabs>
                <w:tab w:val="clear" w:pos="4153"/>
                <w:tab w:val="clear" w:pos="8306"/>
              </w:tabs>
              <w:spacing w:line="240" w:lineRule="auto"/>
              <w:ind w:left="3"/>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13.100</w:t>
            </w:r>
            <w:r>
              <w:rPr>
                <w:rFonts w:ascii="黑体" w:hAnsi="黑体" w:eastAsia="黑体"/>
                <w:sz w:val="21"/>
                <w:szCs w:val="21"/>
              </w:rPr>
              <w:fldChar w:fldCharType="end"/>
            </w:r>
            <w:bookmarkEnd w:id="0"/>
          </w:p>
        </w:tc>
      </w:tr>
      <w:tr w14:paraId="1B9AA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D978FC0">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322241A2">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E</w:t>
            </w:r>
            <w:r>
              <w:rPr>
                <w:rFonts w:hint="eastAsia" w:ascii="黑体" w:hAnsi="黑体" w:eastAsia="黑体"/>
                <w:sz w:val="21"/>
                <w:szCs w:val="21"/>
                <w:lang w:val="en-US" w:eastAsia="zh-CN"/>
              </w:rPr>
              <w:t xml:space="preserve"> 09</w:t>
            </w:r>
            <w:r>
              <w:rPr>
                <w:rFonts w:ascii="黑体" w:hAnsi="黑体" w:eastAsia="黑体"/>
                <w:sz w:val="21"/>
                <w:szCs w:val="21"/>
              </w:rPr>
              <w:fldChar w:fldCharType="end"/>
            </w:r>
            <w:bookmarkEnd w:id="1"/>
          </w:p>
        </w:tc>
      </w:tr>
    </w:tbl>
    <w:tbl>
      <w:tblPr>
        <w:tblStyle w:val="30"/>
        <w:tblpPr w:leftFromText="181" w:rightFromText="181" w:horzAnchor="margin" w:tblpX="3857" w:tblpY="56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90"/>
      </w:tblGrid>
      <w:tr w14:paraId="707A84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2DB9501F">
            <w:pPr>
              <w:pStyle w:val="53"/>
              <w:framePr w:w="0" w:hRule="auto" w:wrap="auto" w:vAnchor="margin" w:hAnchor="text" w:xAlign="left" w:yAlign="inline"/>
              <w:ind w:firstLine="420"/>
            </w:pPr>
            <w:bookmarkStart w:id="2" w:name="_Hlk26473981"/>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AQ</w:t>
            </w:r>
            <w:r>
              <w:fldChar w:fldCharType="end"/>
            </w:r>
            <w:bookmarkEnd w:id="3"/>
          </w:p>
        </w:tc>
      </w:tr>
    </w:tbl>
    <w:p w14:paraId="30903EBA">
      <w:pPr>
        <w:pStyle w:val="54"/>
        <w:framePr w:w="9639" w:h="624" w:hRule="exact" w:hSpace="181" w:vSpace="181" w:wrap="around" w:hAnchor="page" w:x="1305" w:y="2269"/>
        <w:rPr>
          <w:rFonts w:hint="eastAsia" w:ascii="黑体" w:hAnsi="黑体" w:eastAsia="黑体"/>
          <w:b w:val="0"/>
          <w:bCs w:val="0"/>
          <w:w w:val="100"/>
          <w:sz w:val="48"/>
          <w:szCs w:val="48"/>
        </w:rPr>
      </w:pPr>
      <w:r>
        <w:rPr>
          <w:rFonts w:hint="eastAsia" w:ascii="黑体" w:hAnsi="黑体" w:eastAsia="黑体"/>
          <w:b w:val="0"/>
          <w:bCs w:val="0"/>
          <w:w w:val="100"/>
          <w:sz w:val="48"/>
          <w:szCs w:val="48"/>
        </w:rPr>
        <w:t>中华人民共和国</w:t>
      </w:r>
      <w:r>
        <w:rPr>
          <w:rFonts w:ascii="黑体" w:eastAsia="黑体"/>
          <w:b w:val="0"/>
          <w:bCs w:val="0"/>
          <w:w w:val="100"/>
          <w:sz w:val="48"/>
        </w:rPr>
        <w:fldChar w:fldCharType="begin">
          <w:ffData>
            <w:name w:val="c2"/>
            <w:enabled/>
            <w:calcOnExit w:val="0"/>
            <w:textInput/>
          </w:ffData>
        </w:fldChar>
      </w:r>
      <w:bookmarkStart w:id="4" w:name="c2"/>
      <w:r>
        <w:rPr>
          <w:rFonts w:ascii="黑体" w:eastAsia="黑体"/>
          <w:b w:val="0"/>
          <w:bCs w:val="0"/>
          <w:w w:val="100"/>
          <w:sz w:val="48"/>
        </w:rPr>
        <w:instrText xml:space="preserve"> FORMTEXT </w:instrText>
      </w:r>
      <w:r>
        <w:rPr>
          <w:rFonts w:ascii="黑体" w:eastAsia="黑体"/>
          <w:b w:val="0"/>
          <w:bCs w:val="0"/>
          <w:w w:val="100"/>
          <w:sz w:val="48"/>
        </w:rPr>
        <w:fldChar w:fldCharType="separate"/>
      </w:r>
      <w:r>
        <w:rPr>
          <w:rFonts w:hint="eastAsia" w:ascii="黑体" w:eastAsia="黑体"/>
          <w:b w:val="0"/>
          <w:bCs w:val="0"/>
          <w:w w:val="100"/>
          <w:sz w:val="48"/>
        </w:rPr>
        <w:t>安全生产</w:t>
      </w:r>
      <w:r>
        <w:rPr>
          <w:rFonts w:ascii="黑体" w:eastAsia="黑体"/>
          <w:b w:val="0"/>
          <w:bCs w:val="0"/>
          <w:w w:val="100"/>
          <w:sz w:val="48"/>
        </w:rPr>
        <w:fldChar w:fldCharType="end"/>
      </w:r>
      <w:bookmarkEnd w:id="4"/>
      <w:r>
        <w:rPr>
          <w:rFonts w:hint="eastAsia" w:ascii="黑体" w:hAnsi="黑体" w:eastAsia="黑体"/>
          <w:b w:val="0"/>
          <w:bCs w:val="0"/>
          <w:w w:val="100"/>
          <w:sz w:val="48"/>
          <w:szCs w:val="48"/>
        </w:rPr>
        <w:t>行业标准</w:t>
      </w:r>
    </w:p>
    <w:bookmarkEnd w:id="2"/>
    <w:p w14:paraId="30D435AA">
      <w:pPr>
        <w:pStyle w:val="199"/>
        <w:rPr>
          <w:lang w:val="fr-FR"/>
        </w:rPr>
      </w:pP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AQ</w:t>
      </w:r>
      <w:r>
        <w:fldChar w:fldCharType="end"/>
      </w:r>
      <w:bookmarkEnd w:id="5"/>
      <w:r>
        <w:rPr>
          <w:lang w:val="fr-FR"/>
        </w:rPr>
        <w:t xml:space="preserve"> </w:t>
      </w:r>
      <w:r>
        <w:fldChar w:fldCharType="begin">
          <w:ffData>
            <w:name w:val="NSTD_CODE_F"/>
            <w:enabled/>
            <w:calcOnExit w:val="0"/>
            <w:textInput>
              <w:default w:val="XXXXX"/>
            </w:textInput>
          </w:ffData>
        </w:fldChar>
      </w:r>
      <w:bookmarkStart w:id="6" w:name="NSTD_CODE_F"/>
      <w:r>
        <w:rPr>
          <w:lang w:val="fr-FR"/>
        </w:rPr>
        <w:instrText xml:space="preserve"> FORMTEXT </w:instrText>
      </w:r>
      <w:r>
        <w:fldChar w:fldCharType="separate"/>
      </w:r>
      <w:r>
        <w:t>XXXXX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74CCB08D">
      <w:pPr>
        <w:pStyle w:val="200"/>
        <w:rPr>
          <w:rFonts w:hint="eastAsia" w:hAnsi="黑体"/>
          <w:lang w:val="fr-FR"/>
        </w:rPr>
      </w:pPr>
      <w:r>
        <w:rPr>
          <w:rFonts w:hAnsi="黑体"/>
        </w:rPr>
        <w:fldChar w:fldCharType="begin">
          <w:ffData>
            <w:name w:val="OSTD_CODE"/>
            <w:enabled/>
            <w:calcOnExit w:val="0"/>
            <w:textInput/>
          </w:ffData>
        </w:fldChar>
      </w:r>
      <w:bookmarkStart w:id="8" w:name="OSTD_CODE"/>
      <w:r>
        <w:rPr>
          <w:rFonts w:hAnsi="黑体"/>
          <w:lang w:val="fr-FR"/>
        </w:rPr>
        <w:instrText xml:space="preserve"> FORMTEXT </w:instrText>
      </w:r>
      <w:r>
        <w:rPr>
          <w:rFonts w:hAnsi="黑体"/>
        </w:rPr>
        <w:fldChar w:fldCharType="separate"/>
      </w:r>
      <w:r>
        <w:rPr>
          <w:rFonts w:hAnsi="黑体"/>
        </w:rPr>
        <w:t>     </w:t>
      </w:r>
      <w:r>
        <w:rPr>
          <w:rFonts w:hAnsi="黑体"/>
        </w:rPr>
        <w:fldChar w:fldCharType="end"/>
      </w:r>
      <w:bookmarkEnd w:id="8"/>
    </w:p>
    <w:p w14:paraId="0F929C9F">
      <w:pPr>
        <w:spacing w:line="240" w:lineRule="auto"/>
        <w:rPr>
          <w:rFonts w:hint="eastAsia" w:ascii="黑体" w:hAnsi="黑体" w:eastAsia="黑体"/>
          <w:kern w:val="0"/>
          <w:sz w:val="10"/>
          <w:szCs w:val="10"/>
          <w:lang w:val="fr-FR"/>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42C80ED">
      <w:pPr>
        <w:pStyle w:val="54"/>
        <w:framePr w:w="9639" w:h="6976" w:hRule="exact" w:hSpace="0" w:vSpace="0" w:wrap="around" w:hAnchor="page" w:y="6408"/>
        <w:jc w:val="center"/>
        <w:rPr>
          <w:rFonts w:hint="eastAsia" w:ascii="黑体" w:hAnsi="黑体" w:eastAsia="黑体"/>
          <w:b w:val="0"/>
          <w:bCs w:val="0"/>
          <w:w w:val="100"/>
          <w:lang w:val="fr-FR"/>
        </w:rPr>
      </w:pPr>
    </w:p>
    <w:p w14:paraId="571D4862">
      <w:pPr>
        <w:pStyle w:val="201"/>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海洋石油天然气井下作业安全规范</w:t>
      </w:r>
      <w:r>
        <w:fldChar w:fldCharType="end"/>
      </w:r>
      <w:bookmarkEnd w:id="9"/>
    </w:p>
    <w:p w14:paraId="4B1F6D19">
      <w:pPr>
        <w:framePr w:w="9639" w:h="6974" w:hRule="exact" w:wrap="around" w:vAnchor="page" w:hAnchor="page" w:x="1419" w:y="6408" w:anchorLock="1"/>
        <w:ind w:left="-1418"/>
      </w:pPr>
    </w:p>
    <w:p w14:paraId="27F8230E">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 xml:space="preserve">Safety specification for offshore oil and </w:t>
      </w:r>
      <w:r>
        <w:rPr>
          <w:rFonts w:hint="eastAsia" w:eastAsia="黑体"/>
          <w:szCs w:val="28"/>
          <w:lang w:val="en-US" w:eastAsia="zh-CN"/>
        </w:rPr>
        <w:t xml:space="preserve">natural </w:t>
      </w:r>
      <w:r>
        <w:rPr>
          <w:rFonts w:hint="eastAsia" w:eastAsia="黑体"/>
          <w:szCs w:val="28"/>
        </w:rPr>
        <w:t>gas downhole operation</w:t>
      </w:r>
      <w:r>
        <w:rPr>
          <w:rFonts w:eastAsia="黑体"/>
          <w:szCs w:val="28"/>
        </w:rPr>
        <w:fldChar w:fldCharType="end"/>
      </w:r>
      <w:bookmarkEnd w:id="10"/>
    </w:p>
    <w:p w14:paraId="19D1476F">
      <w:pPr>
        <w:framePr w:w="9639" w:h="6974" w:hRule="exact" w:wrap="around" w:vAnchor="page" w:hAnchor="page" w:x="1419" w:y="6408" w:anchorLock="1"/>
        <w:spacing w:line="760" w:lineRule="exact"/>
        <w:ind w:left="-1418"/>
      </w:pPr>
    </w:p>
    <w:p w14:paraId="77F7B41E">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11" w:name="IN_STD_COD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11"/>
    </w:p>
    <w:p w14:paraId="50B34F97">
      <w:pPr>
        <w:pStyle w:val="12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Pr>
          <w:sz w:val="24"/>
          <w:szCs w:val="28"/>
        </w:rPr>
        <w:fldChar w:fldCharType="separate"/>
      </w:r>
      <w:r>
        <w:rPr>
          <w:sz w:val="24"/>
          <w:szCs w:val="28"/>
        </w:rPr>
        <w:fldChar w:fldCharType="end"/>
      </w:r>
      <w:bookmarkEnd w:id="12"/>
    </w:p>
    <w:p w14:paraId="01B494CC">
      <w:pPr>
        <w:pStyle w:val="12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3"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3"/>
    </w:p>
    <w:p w14:paraId="6B46765C">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Pr>
          <w:b/>
          <w:sz w:val="21"/>
          <w:szCs w:val="28"/>
        </w:rPr>
        <w:fldChar w:fldCharType="separate"/>
      </w:r>
      <w:r>
        <w:rPr>
          <w:b/>
          <w:sz w:val="21"/>
          <w:szCs w:val="28"/>
        </w:rPr>
        <w:fldChar w:fldCharType="end"/>
      </w:r>
      <w:bookmarkEnd w:id="14"/>
    </w:p>
    <w:p w14:paraId="5000BE3F">
      <w:pPr>
        <w:pStyle w:val="197"/>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发布</w:t>
      </w:r>
    </w:p>
    <w:p w14:paraId="10352744">
      <w:pPr>
        <w:pStyle w:val="198"/>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rPr>
          <w:rFonts w:hint="eastAsia"/>
        </w:rPr>
        <w:t>实施</w:t>
      </w:r>
    </w:p>
    <w:p w14:paraId="10CDAF99">
      <w:pPr>
        <w:pStyle w:val="154"/>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中华人民共和国应急管理部</w:t>
      </w:r>
      <w:r>
        <w:rPr>
          <w:rFonts w:hAnsi="黑体"/>
          <w:w w:val="100"/>
          <w:sz w:val="28"/>
        </w:rPr>
        <w:fldChar w:fldCharType="end"/>
      </w:r>
      <w:bookmarkEnd w:id="21"/>
      <w:r>
        <w:rPr>
          <w:rFonts w:ascii="Times New Roman"/>
          <w:w w:val="100"/>
          <w:sz w:val="28"/>
          <w:szCs w:val="28"/>
        </w:rPr>
        <w:t>  </w:t>
      </w:r>
      <w:r>
        <w:rPr>
          <w:rStyle w:val="233"/>
          <w:rFonts w:hint="eastAsia" w:hAnsi="黑体"/>
          <w:position w:val="0"/>
        </w:rPr>
        <w:t>发</w:t>
      </w:r>
      <w:r>
        <w:rPr>
          <w:rStyle w:val="233"/>
          <w:rFonts w:hint="eastAsia" w:hAnsi="黑体"/>
          <w:spacing w:val="0"/>
          <w:position w:val="0"/>
        </w:rPr>
        <w:t>布</w:t>
      </w:r>
    </w:p>
    <w:p w14:paraId="28FB3C53">
      <w:pPr>
        <w:rPr>
          <w:rFonts w:hint="eastAsia" w:ascii="宋体" w:hAnsi="宋体"/>
          <w:sz w:val="28"/>
          <w:szCs w:val="28"/>
        </w:rPr>
        <w:sectPr>
          <w:headerReference r:id="rId7" w:type="first"/>
          <w:footerReference r:id="rId9" w:type="first"/>
          <w:headerReference r:id="rId5" w:type="default"/>
          <w:headerReference r:id="rId6" w:type="even"/>
          <w:footerReference r:id="rId8" w:type="even"/>
          <w:type w:val="continuous"/>
          <w:pgSz w:w="11906" w:h="16838"/>
          <w:pgMar w:top="567" w:right="1134" w:bottom="1021"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1CF57C8">
      <w:pPr>
        <w:pStyle w:val="94"/>
        <w:spacing w:after="360"/>
      </w:pPr>
      <w:bookmarkStart w:id="22" w:name="BookMark1"/>
      <w:r>
        <w:rPr>
          <w:rFonts w:hint="eastAsia"/>
          <w:spacing w:val="320"/>
        </w:rPr>
        <w:t>目</w:t>
      </w:r>
      <w:r>
        <w:rPr>
          <w:rFonts w:hint="eastAsia"/>
        </w:rPr>
        <w:t>次</w:t>
      </w:r>
    </w:p>
    <w:p w14:paraId="44295832">
      <w:pPr>
        <w:pStyle w:val="20"/>
        <w:tabs>
          <w:tab w:val="right" w:leader="dot" w:pos="9354"/>
        </w:tabs>
        <w:rPr>
          <w:rFonts w:hint="eastAsia" w:ascii="宋体" w:hAnsi="宋体" w:eastAsia="宋体" w:cs="宋体"/>
        </w:rPr>
      </w:pPr>
      <w:r>
        <w:fldChar w:fldCharType="begin"/>
      </w:r>
      <w:r>
        <w:instrText xml:space="preserve">TOC \o "1-2" \h \u </w:instrText>
      </w:r>
      <w: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_Toc7973 </w:instrText>
      </w:r>
      <w:r>
        <w:rPr>
          <w:rFonts w:hint="eastAsia" w:ascii="宋体" w:hAnsi="宋体" w:eastAsia="宋体" w:cs="宋体"/>
        </w:rPr>
        <w:fldChar w:fldCharType="separate"/>
      </w:r>
      <w:r>
        <w:rPr>
          <w:rFonts w:hint="eastAsia" w:ascii="宋体" w:hAnsi="宋体" w:eastAsia="宋体" w:cs="宋体"/>
          <w:spacing w:val="320"/>
        </w:rPr>
        <w:t>前</w:t>
      </w:r>
      <w:r>
        <w:rPr>
          <w:rFonts w:hint="eastAsia" w:ascii="宋体" w:hAnsi="宋体" w:eastAsia="宋体" w:cs="宋体"/>
        </w:rPr>
        <w:t>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_Toc7973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rPr>
        <w:fldChar w:fldCharType="end"/>
      </w:r>
    </w:p>
    <w:p w14:paraId="001B42DD">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_Toc29042 </w:instrText>
      </w:r>
      <w:r>
        <w:rPr>
          <w:rFonts w:hint="eastAsia" w:ascii="宋体" w:hAnsi="宋体" w:eastAsia="宋体" w:cs="宋体"/>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_Toc29042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5472ED08">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_Toc8622 </w:instrText>
      </w:r>
      <w:r>
        <w:rPr>
          <w:rFonts w:hint="eastAsia" w:ascii="宋体" w:hAnsi="宋体" w:eastAsia="宋体" w:cs="宋体"/>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_Toc8622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1568F282">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_Toc30530 </w:instrText>
      </w:r>
      <w:r>
        <w:rPr>
          <w:rFonts w:hint="eastAsia" w:ascii="宋体" w:hAnsi="宋体" w:eastAsia="宋体" w:cs="宋体"/>
        </w:rPr>
        <w:fldChar w:fldCharType="separate"/>
      </w:r>
      <w:r>
        <w:rPr>
          <w:rFonts w:hint="eastAsia" w:ascii="宋体" w:hAnsi="宋体" w:eastAsia="宋体" w:cs="宋体"/>
          <w:i w:val="0"/>
        </w:rPr>
        <w:t xml:space="preserve">3 </w:t>
      </w:r>
      <w:r>
        <w:rPr>
          <w:rFonts w:hint="eastAsia" w:ascii="宋体" w:hAnsi="宋体" w:eastAsia="宋体" w:cs="宋体"/>
          <w:szCs w:val="21"/>
          <w:highlight w:val="none"/>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_Toc30530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70506B53">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_Toc28834 </w:instrText>
      </w:r>
      <w:r>
        <w:rPr>
          <w:rFonts w:hint="eastAsia" w:ascii="宋体" w:hAnsi="宋体" w:eastAsia="宋体" w:cs="宋体"/>
        </w:rPr>
        <w:fldChar w:fldCharType="separate"/>
      </w:r>
      <w:r>
        <w:rPr>
          <w:rFonts w:hint="eastAsia" w:ascii="宋体" w:hAnsi="宋体" w:eastAsia="宋体" w:cs="宋体"/>
          <w:i w:val="0"/>
        </w:rPr>
        <w:t xml:space="preserve">4 </w:t>
      </w:r>
      <w:r>
        <w:rPr>
          <w:rFonts w:hint="eastAsia" w:ascii="宋体" w:hAnsi="宋体" w:eastAsia="宋体" w:cs="宋体"/>
          <w:highlight w:val="none"/>
          <w:lang w:val="en-US" w:eastAsia="zh-CN"/>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_Toc28834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3CED1AEC">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_Toc20314 </w:instrText>
      </w:r>
      <w:r>
        <w:rPr>
          <w:rFonts w:hint="eastAsia" w:ascii="宋体" w:hAnsi="宋体" w:eastAsia="宋体" w:cs="宋体"/>
        </w:rPr>
        <w:fldChar w:fldCharType="separate"/>
      </w:r>
      <w:r>
        <w:rPr>
          <w:rFonts w:hint="eastAsia" w:ascii="宋体" w:hAnsi="宋体" w:eastAsia="宋体" w:cs="宋体"/>
          <w:i w:val="0"/>
        </w:rPr>
        <w:t xml:space="preserve">5 </w:t>
      </w:r>
      <w:r>
        <w:rPr>
          <w:rFonts w:hint="eastAsia" w:ascii="宋体" w:hAnsi="宋体" w:eastAsia="宋体" w:cs="宋体"/>
          <w:bCs/>
          <w:szCs w:val="21"/>
          <w:lang w:eastAsia="zh-CN"/>
        </w:rPr>
        <w:t>设计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_Toc20314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00176364">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_Toc26388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ascii="宋体" w:hAnsi="宋体" w:eastAsia="宋体" w:cs="宋体"/>
          <w:bCs/>
          <w:szCs w:val="21"/>
          <w:lang w:val="en-US" w:eastAsia="zh-CN"/>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_Toc26388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14:paraId="66730640">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_Toc1780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ascii="宋体" w:hAnsi="宋体" w:eastAsia="宋体" w:cs="宋体"/>
          <w:bCs/>
          <w:szCs w:val="21"/>
          <w:lang w:val="en-US" w:eastAsia="zh-CN"/>
        </w:rPr>
        <w:t>地质设计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_Toc1780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14:paraId="089F1A4F">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_Toc10779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ascii="宋体" w:hAnsi="宋体" w:eastAsia="宋体" w:cs="宋体"/>
          <w:bCs/>
          <w:szCs w:val="21"/>
          <w:lang w:val="en-US" w:eastAsia="zh-CN"/>
        </w:rPr>
        <w:t>作业设计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_Toc10779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14:paraId="0C92B845">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_Toc20607 </w:instrText>
      </w:r>
      <w:r>
        <w:rPr>
          <w:rFonts w:hint="eastAsia" w:ascii="宋体" w:hAnsi="宋体" w:eastAsia="宋体" w:cs="宋体"/>
        </w:rPr>
        <w:fldChar w:fldCharType="separate"/>
      </w:r>
      <w:r>
        <w:rPr>
          <w:rFonts w:hint="eastAsia" w:ascii="宋体" w:hAnsi="宋体" w:eastAsia="宋体" w:cs="宋体"/>
          <w:i w:val="0"/>
        </w:rPr>
        <w:t xml:space="preserve">6 </w:t>
      </w:r>
      <w:r>
        <w:rPr>
          <w:rFonts w:hint="eastAsia" w:ascii="宋体" w:hAnsi="宋体" w:eastAsia="宋体" w:cs="宋体"/>
          <w:bCs/>
          <w:szCs w:val="21"/>
          <w:lang w:eastAsia="zh-CN"/>
        </w:rPr>
        <w:t>井下作业设施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_Toc20607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14:paraId="63B8D3D2">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_Toc9534 </w:instrText>
      </w:r>
      <w:r>
        <w:rPr>
          <w:rFonts w:hint="eastAsia" w:ascii="宋体" w:hAnsi="宋体" w:eastAsia="宋体" w:cs="宋体"/>
        </w:rPr>
        <w:fldChar w:fldCharType="separate"/>
      </w:r>
      <w:r>
        <w:rPr>
          <w:rFonts w:hint="eastAsia" w:ascii="宋体" w:hAnsi="宋体" w:eastAsia="宋体" w:cs="宋体"/>
          <w:bCs/>
          <w:i w:val="0"/>
          <w:szCs w:val="21"/>
          <w:lang w:val="en-US" w:eastAsia="zh-CN"/>
        </w:rPr>
        <w:t xml:space="preserve">7 </w:t>
      </w:r>
      <w:r>
        <w:rPr>
          <w:rFonts w:hint="eastAsia" w:ascii="宋体" w:hAnsi="宋体" w:eastAsia="宋体" w:cs="宋体"/>
          <w:bCs/>
          <w:szCs w:val="21"/>
          <w:lang w:val="en-US" w:eastAsia="zh-CN"/>
        </w:rPr>
        <w:t>井控</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_Toc9534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275DF27D">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_Toc10480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7.1 </w:t>
      </w:r>
      <w:r>
        <w:rPr>
          <w:rFonts w:hint="eastAsia" w:ascii="宋体" w:hAnsi="宋体" w:eastAsia="宋体" w:cs="宋体"/>
          <w:bCs/>
          <w:szCs w:val="21"/>
          <w:lang w:val="en-US" w:eastAsia="zh-CN"/>
        </w:rPr>
        <w:t>井控工艺要求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_Toc10480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35CB1311">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_Toc19194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7.2 </w:t>
      </w:r>
      <w:r>
        <w:rPr>
          <w:rFonts w:hint="eastAsia" w:ascii="宋体" w:hAnsi="宋体" w:eastAsia="宋体" w:cs="宋体"/>
          <w:bCs/>
          <w:szCs w:val="21"/>
          <w:lang w:val="en-US" w:eastAsia="zh-CN"/>
        </w:rPr>
        <w:t>井控设备安装与配置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_Toc19194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2947224C">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_Toc1194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7.3 </w:t>
      </w:r>
      <w:r>
        <w:rPr>
          <w:rFonts w:hint="eastAsia" w:ascii="宋体" w:hAnsi="宋体" w:eastAsia="宋体" w:cs="宋体"/>
          <w:bCs/>
          <w:szCs w:val="21"/>
          <w:lang w:val="en-US" w:eastAsia="zh-CN"/>
        </w:rPr>
        <w:t>井控设备试压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_Toc1194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56889A1B">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_Toc17051 </w:instrText>
      </w:r>
      <w:r>
        <w:rPr>
          <w:rFonts w:hint="eastAsia" w:ascii="宋体" w:hAnsi="宋体" w:eastAsia="宋体" w:cs="宋体"/>
        </w:rPr>
        <w:fldChar w:fldCharType="separate"/>
      </w:r>
      <w:r>
        <w:rPr>
          <w:rFonts w:hint="eastAsia" w:ascii="宋体" w:hAnsi="宋体" w:eastAsia="宋体" w:cs="宋体"/>
          <w:bCs/>
          <w:i w:val="0"/>
          <w:szCs w:val="21"/>
        </w:rPr>
        <w:t xml:space="preserve">8 </w:t>
      </w:r>
      <w:r>
        <w:rPr>
          <w:rFonts w:hint="eastAsia" w:ascii="宋体" w:hAnsi="宋体" w:eastAsia="宋体" w:cs="宋体"/>
          <w:bCs/>
          <w:szCs w:val="21"/>
          <w:lang w:eastAsia="zh-CN"/>
        </w:rPr>
        <w:t>施工作业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_Toc17051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21D2CF44">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_Toc10361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8.1 </w:t>
      </w:r>
      <w:r>
        <w:rPr>
          <w:rFonts w:hint="eastAsia" w:ascii="宋体" w:hAnsi="宋体" w:eastAsia="宋体" w:cs="宋体"/>
          <w:highlight w:val="none"/>
          <w:lang w:eastAsia="zh-CN"/>
        </w:rPr>
        <w:t>基本</w:t>
      </w:r>
      <w:r>
        <w:rPr>
          <w:rFonts w:hint="eastAsia" w:ascii="宋体" w:hAnsi="宋体" w:eastAsia="宋体" w:cs="宋体"/>
          <w:highlight w:val="none"/>
        </w:rPr>
        <w:t>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_Toc10361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062C0309">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_Toc13763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8.2 </w:t>
      </w:r>
      <w:r>
        <w:rPr>
          <w:rFonts w:hint="eastAsia" w:ascii="宋体" w:hAnsi="宋体" w:eastAsia="宋体" w:cs="宋体"/>
          <w:highlight w:val="none"/>
          <w:lang w:val="en-US" w:eastAsia="zh-CN"/>
        </w:rPr>
        <w:t>洗压井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_Toc13763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36F8E986">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_Toc14185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8.3 </w:t>
      </w:r>
      <w:r>
        <w:rPr>
          <w:rFonts w:hint="eastAsia" w:ascii="宋体" w:hAnsi="宋体" w:eastAsia="宋体" w:cs="宋体"/>
          <w:highlight w:val="none"/>
        </w:rPr>
        <w:t>拆装井口</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_Toc14185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2730FDA3">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_Toc17240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8.4 </w:t>
      </w:r>
      <w:r>
        <w:rPr>
          <w:rFonts w:hint="eastAsia" w:ascii="宋体" w:hAnsi="宋体" w:eastAsia="宋体" w:cs="宋体"/>
        </w:rPr>
        <w:t>起下管柱</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_Toc17240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7A9CCDBD">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_Toc1174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8.5 </w:t>
      </w:r>
      <w:r>
        <w:rPr>
          <w:rFonts w:hint="eastAsia" w:ascii="宋体" w:hAnsi="宋体" w:eastAsia="宋体" w:cs="宋体"/>
          <w:highlight w:val="none"/>
        </w:rPr>
        <w:t>套铣</w:t>
      </w:r>
      <w:r>
        <w:rPr>
          <w:rFonts w:hint="eastAsia" w:ascii="宋体" w:hAnsi="宋体" w:eastAsia="宋体" w:cs="宋体"/>
          <w:highlight w:val="none"/>
          <w:lang w:val="en-US" w:eastAsia="zh-CN"/>
        </w:rPr>
        <w:t>/</w:t>
      </w:r>
      <w:r>
        <w:rPr>
          <w:rFonts w:hint="eastAsia" w:ascii="宋体" w:hAnsi="宋体" w:eastAsia="宋体" w:cs="宋体"/>
          <w:highlight w:val="none"/>
        </w:rPr>
        <w:t>磨铣</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_Toc1174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4A9BDEC8">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_Toc2734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8.6 </w:t>
      </w:r>
      <w:r>
        <w:rPr>
          <w:rFonts w:hint="eastAsia" w:ascii="宋体" w:hAnsi="宋体" w:eastAsia="宋体" w:cs="宋体"/>
        </w:rPr>
        <w:t>解卡打捞</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_Toc2734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6B1EB889">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_Toc28699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8.7 </w:t>
      </w:r>
      <w:r>
        <w:rPr>
          <w:rFonts w:hint="eastAsia" w:ascii="宋体" w:hAnsi="宋体" w:eastAsia="宋体" w:cs="宋体"/>
        </w:rPr>
        <w:t>酸化/压裂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_Toc28699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1F7555C1">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_Toc6438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8.8 </w:t>
      </w:r>
      <w:r>
        <w:rPr>
          <w:rFonts w:hint="eastAsia" w:ascii="宋体" w:hAnsi="宋体" w:eastAsia="宋体" w:cs="宋体"/>
        </w:rPr>
        <w:t>射孔</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_Toc6438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429961F9">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_Toc4293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8.9 </w:t>
      </w:r>
      <w:r>
        <w:rPr>
          <w:rFonts w:hint="eastAsia" w:ascii="宋体" w:hAnsi="宋体" w:eastAsia="宋体" w:cs="宋体"/>
          <w:lang w:val="en-US" w:eastAsia="zh-CN"/>
        </w:rPr>
        <w:t>钢丝/电缆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_Toc4293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7A8DCB5D">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_Toc5526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8.10 </w:t>
      </w:r>
      <w:r>
        <w:rPr>
          <w:rFonts w:hint="eastAsia" w:ascii="宋体" w:hAnsi="宋体" w:eastAsia="宋体" w:cs="宋体"/>
          <w:lang w:val="en-US" w:eastAsia="zh-CN"/>
        </w:rPr>
        <w:t>连续油管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_Toc5526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5746EBDD">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_Toc14407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8.11 </w:t>
      </w:r>
      <w:r>
        <w:rPr>
          <w:rFonts w:hint="eastAsia" w:ascii="宋体" w:hAnsi="宋体" w:eastAsia="宋体" w:cs="宋体"/>
          <w:lang w:val="en-US" w:eastAsia="zh-CN"/>
        </w:rPr>
        <w:t>诱喷/替喷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_Toc14407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2C90DB61">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_Toc8253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8.12 </w:t>
      </w:r>
      <w:r>
        <w:rPr>
          <w:rFonts w:hint="eastAsia" w:ascii="宋体" w:hAnsi="宋体" w:eastAsia="宋体" w:cs="宋体"/>
          <w:lang w:val="en-US" w:eastAsia="zh-CN"/>
        </w:rPr>
        <w:t>试油（气）</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_Toc8253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561506D6">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_Toc3566 </w:instrText>
      </w:r>
      <w:r>
        <w:rPr>
          <w:rFonts w:hint="eastAsia" w:ascii="宋体" w:hAnsi="宋体" w:eastAsia="宋体" w:cs="宋体"/>
        </w:rPr>
        <w:fldChar w:fldCharType="separate"/>
      </w:r>
      <w:r>
        <w:rPr>
          <w:rFonts w:hint="eastAsia" w:ascii="宋体" w:hAnsi="宋体" w:eastAsia="宋体" w:cs="宋体"/>
          <w:i w:val="0"/>
        </w:rPr>
        <w:t xml:space="preserve">9 </w:t>
      </w:r>
      <w:r>
        <w:rPr>
          <w:rFonts w:hint="eastAsia" w:ascii="宋体" w:hAnsi="宋体" w:eastAsia="宋体" w:cs="宋体"/>
          <w:highlight w:val="none"/>
          <w:lang w:val="en-US" w:eastAsia="zh-CN"/>
        </w:rPr>
        <w:t>消防与救逃生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_Toc3566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24B57817">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_Toc21265 </w:instrText>
      </w:r>
      <w:r>
        <w:rPr>
          <w:rFonts w:hint="eastAsia" w:ascii="宋体" w:hAnsi="宋体" w:eastAsia="宋体" w:cs="宋体"/>
        </w:rPr>
        <w:fldChar w:fldCharType="separate"/>
      </w:r>
      <w:r>
        <w:rPr>
          <w:rFonts w:hint="eastAsia" w:ascii="宋体" w:hAnsi="宋体" w:eastAsia="宋体" w:cs="宋体"/>
          <w:bCs/>
          <w:i w:val="0"/>
          <w:szCs w:val="21"/>
        </w:rPr>
        <w:t xml:space="preserve">10 </w:t>
      </w:r>
      <w:r>
        <w:rPr>
          <w:rFonts w:hint="eastAsia" w:ascii="宋体" w:hAnsi="宋体" w:eastAsia="宋体" w:cs="宋体"/>
          <w:bCs/>
          <w:szCs w:val="21"/>
        </w:rPr>
        <w:t>防火防爆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_Toc21265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7DEF9581">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_Toc7218 </w:instrText>
      </w:r>
      <w:r>
        <w:rPr>
          <w:rFonts w:hint="eastAsia" w:ascii="宋体" w:hAnsi="宋体" w:eastAsia="宋体" w:cs="宋体"/>
        </w:rPr>
        <w:fldChar w:fldCharType="separate"/>
      </w:r>
      <w:r>
        <w:rPr>
          <w:rFonts w:hint="eastAsia" w:ascii="宋体" w:hAnsi="宋体" w:eastAsia="宋体" w:cs="宋体"/>
          <w:i w:val="0"/>
        </w:rPr>
        <w:t xml:space="preserve">11 </w:t>
      </w:r>
      <w:r>
        <w:rPr>
          <w:rFonts w:hint="eastAsia" w:ascii="宋体" w:hAnsi="宋体" w:eastAsia="宋体" w:cs="宋体"/>
          <w:lang w:eastAsia="zh-CN"/>
        </w:rPr>
        <w:t>应急管理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_Toc7218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1B897062">
      <w:pPr>
        <w:pStyle w:val="20"/>
        <w:tabs>
          <w:tab w:val="right" w:leader="dot" w:pos="9354"/>
        </w:tabs>
      </w:pPr>
      <w:r>
        <w:rPr>
          <w:rFonts w:hint="eastAsia" w:ascii="宋体" w:hAnsi="宋体" w:eastAsia="宋体" w:cs="宋体"/>
        </w:rPr>
        <w:fldChar w:fldCharType="begin"/>
      </w:r>
      <w:r>
        <w:rPr>
          <w:rFonts w:hint="eastAsia" w:ascii="宋体" w:hAnsi="宋体" w:eastAsia="宋体" w:cs="宋体"/>
        </w:rPr>
        <w:instrText xml:space="preserve"> HYPERLINK \l _Toc28064 </w:instrText>
      </w:r>
      <w:r>
        <w:rPr>
          <w:rFonts w:hint="eastAsia" w:ascii="宋体" w:hAnsi="宋体" w:eastAsia="宋体" w:cs="宋体"/>
        </w:rPr>
        <w:fldChar w:fldCharType="separate"/>
      </w:r>
      <w:r>
        <w:rPr>
          <w:rFonts w:hint="eastAsia" w:ascii="宋体" w:hAnsi="宋体" w:eastAsia="宋体" w:cs="宋体"/>
          <w:i w:val="0"/>
        </w:rPr>
        <w:t xml:space="preserve">12 </w:t>
      </w:r>
      <w:r>
        <w:rPr>
          <w:rFonts w:hint="eastAsia" w:ascii="宋体" w:hAnsi="宋体" w:eastAsia="宋体" w:cs="宋体"/>
        </w:rPr>
        <w:t>证实方法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_Toc28064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567B1E80">
      <w:pPr>
        <w:pStyle w:val="94"/>
        <w:spacing w:after="360"/>
        <w:sectPr>
          <w:headerReference r:id="rId10" w:type="default"/>
          <w:footerReference r:id="rId12" w:type="default"/>
          <w:headerReference r:id="rId11" w:type="even"/>
          <w:pgSz w:w="11906" w:h="16838"/>
          <w:pgMar w:top="1928" w:right="1134" w:bottom="1134" w:left="1134" w:header="1418" w:footer="1134" w:gutter="284"/>
          <w:pgBorders>
            <w:top w:val="none" w:sz="0" w:space="0"/>
            <w:left w:val="none" w:sz="0" w:space="0"/>
            <w:bottom w:val="none" w:sz="0" w:space="0"/>
            <w:right w:val="none" w:sz="0" w:space="0"/>
          </w:pgBorders>
          <w:pgNumType w:fmt="upperRoman" w:start="1"/>
          <w:cols w:space="425" w:num="1"/>
          <w:formProt w:val="0"/>
          <w:docGrid w:linePitch="312" w:charSpace="0"/>
        </w:sectPr>
      </w:pPr>
      <w:r>
        <w:fldChar w:fldCharType="end"/>
      </w:r>
    </w:p>
    <w:bookmarkEnd w:id="22"/>
    <w:p w14:paraId="6D8038FB">
      <w:pPr>
        <w:pStyle w:val="92"/>
        <w:spacing w:before="560" w:after="360"/>
      </w:pPr>
      <w:bookmarkStart w:id="23" w:name="_Toc7973"/>
      <w:bookmarkStart w:id="24" w:name="_Toc23546"/>
      <w:bookmarkStart w:id="25" w:name="BookMark2"/>
      <w:r>
        <w:rPr>
          <w:rFonts w:hint="eastAsia"/>
          <w:spacing w:val="320"/>
        </w:rPr>
        <w:t>前</w:t>
      </w:r>
      <w:r>
        <w:rPr>
          <w:rFonts w:hint="eastAsia"/>
        </w:rPr>
        <w:t>言</w:t>
      </w:r>
      <w:bookmarkEnd w:id="23"/>
      <w:bookmarkEnd w:id="24"/>
    </w:p>
    <w:p w14:paraId="72C780FD">
      <w:pPr>
        <w:pStyle w:val="60"/>
        <w:ind w:firstLine="420"/>
        <w:rPr>
          <w:rFonts w:hint="eastAsia" w:ascii="黑体" w:hAnsi="黑体" w:eastAsia="黑体" w:cs="黑体"/>
          <w:b w:val="0"/>
          <w:bCs w:val="0"/>
          <w:lang w:val="en-US" w:eastAsia="zh-CN"/>
        </w:rPr>
      </w:pPr>
      <w:r>
        <w:rPr>
          <w:rFonts w:hint="eastAsia" w:ascii="黑体" w:hAnsi="黑体" w:eastAsia="黑体" w:cs="黑体"/>
          <w:b w:val="0"/>
          <w:bCs w:val="0"/>
          <w:lang w:val="en-US" w:eastAsia="zh-CN"/>
        </w:rPr>
        <w:t>本文件的全部技术内容为强制性。</w:t>
      </w:r>
    </w:p>
    <w:p w14:paraId="2D761FA0">
      <w:pPr>
        <w:pStyle w:val="60"/>
        <w:ind w:firstLine="420"/>
        <w:rPr>
          <w:rFonts w:hint="eastAsia"/>
        </w:rPr>
      </w:pPr>
      <w:r>
        <w:rPr>
          <w:rFonts w:hint="eastAsia"/>
        </w:rPr>
        <w:t>本文件按照</w:t>
      </w:r>
      <w:r>
        <w:rPr>
          <w:rFonts w:hint="eastAsia" w:ascii="宋体" w:hAnsi="宋体" w:eastAsia="宋体" w:cs="宋体"/>
        </w:rPr>
        <w:t>GB/T</w:t>
      </w:r>
      <w:r>
        <w:rPr>
          <w:rFonts w:hint="eastAsia" w:ascii="宋体" w:hAnsi="宋体" w:eastAsia="宋体" w:cs="宋体"/>
          <w:lang w:val="en-US" w:eastAsia="zh-CN"/>
        </w:rPr>
        <w:t xml:space="preserve"> </w:t>
      </w:r>
      <w:r>
        <w:rPr>
          <w:rFonts w:hint="eastAsia" w:ascii="宋体" w:hAnsi="宋体" w:eastAsia="宋体" w:cs="宋体"/>
        </w:rPr>
        <w:t>1.1—2020</w:t>
      </w:r>
      <w:r>
        <w:rPr>
          <w:rFonts w:hint="eastAsia"/>
        </w:rPr>
        <w:t>《标准化工作导则  第</w:t>
      </w:r>
      <w:r>
        <w:rPr>
          <w:rFonts w:hint="eastAsia" w:ascii="宋体" w:hAnsi="宋体" w:eastAsia="宋体" w:cs="宋体"/>
        </w:rPr>
        <w:t>1</w:t>
      </w:r>
      <w:r>
        <w:rPr>
          <w:rFonts w:hint="eastAsia"/>
        </w:rPr>
        <w:t>部分：标准化文件的结构和起草规则》的规定起草。</w:t>
      </w:r>
    </w:p>
    <w:p w14:paraId="6F37BFC3">
      <w:pPr>
        <w:pStyle w:val="60"/>
        <w:ind w:firstLine="420"/>
      </w:pPr>
      <w:r>
        <w:rPr>
          <w:rFonts w:hint="eastAsia"/>
        </w:rPr>
        <w:t>请注意本文件的某些内容可能涉及专利。本文件的发布机构不承担识别这些专利的责任。</w:t>
      </w:r>
    </w:p>
    <w:p w14:paraId="36FF7980">
      <w:pPr>
        <w:pStyle w:val="60"/>
        <w:ind w:firstLine="420"/>
        <w:rPr>
          <w:rFonts w:hint="eastAsia"/>
          <w:lang w:val="en-US" w:eastAsia="zh-CN"/>
        </w:rPr>
      </w:pPr>
      <w:r>
        <w:rPr>
          <w:rFonts w:hint="eastAsia"/>
          <w:lang w:val="en-US" w:eastAsia="zh-CN"/>
        </w:rPr>
        <w:t>本文件由中华人民共和国应急管理部提出，危险化学品安全监督管理二司业务管理、政策法规司统筹管理。</w:t>
      </w:r>
    </w:p>
    <w:p w14:paraId="181CFD3E">
      <w:pPr>
        <w:pStyle w:val="60"/>
        <w:ind w:firstLine="420"/>
        <w:rPr>
          <w:rFonts w:hint="default"/>
          <w:lang w:val="en-US" w:eastAsia="zh-CN"/>
        </w:rPr>
      </w:pPr>
      <w:r>
        <w:rPr>
          <w:rFonts w:hint="eastAsia"/>
          <w:lang w:val="en-US" w:eastAsia="zh-CN"/>
        </w:rPr>
        <w:t>本文件由全国安全生产标准化技术委员会石油天然气开采安全分技术委员会</w:t>
      </w:r>
      <w:r>
        <w:rPr>
          <w:rFonts w:hint="eastAsia" w:ascii="宋体" w:hAnsi="宋体" w:eastAsia="宋体" w:cs="宋体"/>
          <w:lang w:val="en-US" w:eastAsia="zh-CN"/>
        </w:rPr>
        <w:t>（SAC/TC 288/SC 10）</w:t>
      </w:r>
      <w:r>
        <w:rPr>
          <w:rFonts w:hint="eastAsia"/>
          <w:lang w:val="en-US" w:eastAsia="zh-CN"/>
        </w:rPr>
        <w:t>技术归口及咨询。</w:t>
      </w:r>
    </w:p>
    <w:p w14:paraId="239C916D">
      <w:pPr>
        <w:pStyle w:val="234"/>
        <w:sectPr>
          <w:headerReference r:id="rId13" w:type="default"/>
          <w:footerReference r:id="rId14" w:type="default"/>
          <w:pgSz w:w="11906" w:h="16838"/>
          <w:pgMar w:top="1928" w:right="1134" w:bottom="1134" w:left="1134" w:header="1418" w:footer="1134" w:gutter="284"/>
          <w:pgBorders>
            <w:top w:val="none" w:sz="0" w:space="0"/>
            <w:left w:val="none" w:sz="0" w:space="0"/>
            <w:bottom w:val="none" w:sz="0" w:space="0"/>
            <w:right w:val="none" w:sz="0" w:space="0"/>
          </w:pgBorders>
          <w:pgNumType w:fmt="upperRoman"/>
          <w:cols w:space="425" w:num="1"/>
          <w:formProt w:val="0"/>
          <w:docGrid w:linePitch="312" w:charSpace="0"/>
        </w:sectPr>
      </w:pPr>
      <w:r>
        <w:rPr>
          <w:rFonts w:hint="eastAsia"/>
          <w:lang w:val="en-US" w:eastAsia="zh-CN"/>
        </w:rPr>
        <w:t>本文件为首次发布。</w:t>
      </w:r>
    </w:p>
    <w:bookmarkEnd w:id="25"/>
    <w:p w14:paraId="698E375B">
      <w:pPr>
        <w:spacing w:line="20" w:lineRule="exact"/>
        <w:jc w:val="center"/>
        <w:rPr>
          <w:rFonts w:hint="eastAsia" w:ascii="黑体" w:hAnsi="黑体" w:eastAsia="黑体"/>
          <w:sz w:val="32"/>
          <w:szCs w:val="32"/>
        </w:rPr>
      </w:pPr>
      <w:bookmarkStart w:id="26" w:name="BookMark4"/>
    </w:p>
    <w:p w14:paraId="1304A03B">
      <w:pPr>
        <w:spacing w:line="20" w:lineRule="exact"/>
        <w:jc w:val="center"/>
        <w:rPr>
          <w:rFonts w:hint="eastAsia" w:ascii="黑体" w:hAnsi="黑体" w:eastAsia="黑体"/>
          <w:sz w:val="32"/>
          <w:szCs w:val="32"/>
        </w:rPr>
      </w:pPr>
    </w:p>
    <w:sdt>
      <w:sdtPr>
        <w:tag w:val="NEW_STAND_NAME"/>
        <w:id w:val="595910757"/>
        <w:lock w:val="sdtLocked"/>
        <w:placeholder>
          <w:docPart w:val="5B09B132F3DB4A21AC416836D2BBE144"/>
        </w:placeholder>
      </w:sdtPr>
      <w:sdtContent>
        <w:p w14:paraId="1E49D3C7">
          <w:pPr>
            <w:pStyle w:val="181"/>
            <w:bidi w:val="0"/>
            <w:spacing w:before="313" w:beforeLines="100" w:after="4" w:afterLines="1"/>
            <w:rPr>
              <w:rFonts w:hint="eastAsia"/>
            </w:rPr>
          </w:pPr>
          <w:bookmarkStart w:id="27" w:name="NEW_STAND_NAME"/>
          <w:r>
            <w:rPr>
              <w:rFonts w:hint="eastAsia"/>
              <w:lang w:eastAsia="zh-CN"/>
            </w:rPr>
            <w:t>海洋石油天然气井下作业安全规范</w:t>
          </w:r>
        </w:p>
      </w:sdtContent>
    </w:sdt>
    <w:bookmarkEnd w:id="27"/>
    <w:p w14:paraId="36B0CD91">
      <w:pPr>
        <w:pStyle w:val="107"/>
        <w:spacing w:before="240" w:after="240"/>
      </w:pPr>
      <w:bookmarkStart w:id="28" w:name="_Toc22546"/>
      <w:bookmarkStart w:id="29" w:name="_Toc97195091"/>
      <w:bookmarkStart w:id="30" w:name="_Toc26986771"/>
      <w:bookmarkStart w:id="31" w:name="_Toc29042"/>
      <w:bookmarkStart w:id="32" w:name="_Toc24884211"/>
      <w:bookmarkStart w:id="33" w:name="_Toc17233325"/>
      <w:bookmarkStart w:id="34" w:name="_Toc26718930"/>
      <w:bookmarkStart w:id="35" w:name="_Toc24976"/>
      <w:bookmarkStart w:id="36" w:name="_Toc24884218"/>
      <w:bookmarkStart w:id="37" w:name="_Toc17233333"/>
      <w:bookmarkStart w:id="38" w:name="_Toc26648465"/>
      <w:bookmarkStart w:id="39" w:name="_Toc26986530"/>
      <w:bookmarkStart w:id="40" w:name="_Toc15157"/>
      <w:r>
        <w:rPr>
          <w:rFonts w:hint="eastAsia"/>
        </w:rPr>
        <w:t>范围</w:t>
      </w:r>
      <w:bookmarkEnd w:id="28"/>
      <w:bookmarkEnd w:id="29"/>
      <w:bookmarkEnd w:id="30"/>
      <w:bookmarkEnd w:id="31"/>
      <w:bookmarkEnd w:id="32"/>
      <w:bookmarkEnd w:id="33"/>
      <w:bookmarkEnd w:id="34"/>
      <w:bookmarkEnd w:id="35"/>
      <w:bookmarkEnd w:id="36"/>
      <w:bookmarkEnd w:id="37"/>
      <w:bookmarkEnd w:id="38"/>
      <w:bookmarkEnd w:id="39"/>
      <w:bookmarkEnd w:id="40"/>
    </w:p>
    <w:p w14:paraId="3174D74A">
      <w:pPr>
        <w:pStyle w:val="60"/>
        <w:ind w:firstLine="420"/>
        <w:rPr>
          <w:rFonts w:hint="eastAsia"/>
        </w:rPr>
      </w:pPr>
      <w:bookmarkStart w:id="41" w:name="_Toc17233326"/>
      <w:bookmarkStart w:id="42" w:name="_Toc24884212"/>
      <w:bookmarkStart w:id="43" w:name="_Toc24884219"/>
      <w:bookmarkStart w:id="44" w:name="_Toc17233334"/>
      <w:bookmarkStart w:id="45" w:name="_Toc26648466"/>
      <w:r>
        <w:rPr>
          <w:rFonts w:hint="eastAsia"/>
        </w:rPr>
        <w:t>本文件规定了海洋石油天然气井下作业的基本要求、设计、作业设施、</w:t>
      </w:r>
      <w:r>
        <w:rPr>
          <w:rFonts w:hint="eastAsia"/>
          <w:lang w:val="en-US" w:eastAsia="zh-CN"/>
        </w:rPr>
        <w:t>井控、</w:t>
      </w:r>
      <w:r>
        <w:rPr>
          <w:rFonts w:hint="eastAsia"/>
        </w:rPr>
        <w:t>施工作业</w:t>
      </w:r>
      <w:r>
        <w:rPr>
          <w:rFonts w:hint="eastAsia"/>
          <w:lang w:eastAsia="zh-CN"/>
        </w:rPr>
        <w:t>、</w:t>
      </w:r>
      <w:r>
        <w:rPr>
          <w:rFonts w:hint="eastAsia"/>
        </w:rPr>
        <w:t>消防与救逃生、防火防爆以及应急管理要求，并描述了对应的证实方法。</w:t>
      </w:r>
    </w:p>
    <w:p w14:paraId="082FDAEB">
      <w:pPr>
        <w:pStyle w:val="60"/>
        <w:ind w:firstLine="420"/>
        <w:rPr>
          <w:rFonts w:hint="eastAsia" w:eastAsia="宋体"/>
          <w:highlight w:val="none"/>
          <w:lang w:eastAsia="zh-CN"/>
        </w:rPr>
      </w:pPr>
      <w:r>
        <w:rPr>
          <w:rFonts w:hint="eastAsia"/>
          <w:highlight w:val="none"/>
        </w:rPr>
        <w:t>本文件适用于</w:t>
      </w:r>
      <w:r>
        <w:rPr>
          <w:rFonts w:hint="eastAsia"/>
          <w:highlight w:val="none"/>
          <w:lang w:val="en-US" w:eastAsia="zh-CN"/>
        </w:rPr>
        <w:t>海上、滩海陆岸、人工岛的</w:t>
      </w:r>
      <w:r>
        <w:rPr>
          <w:rFonts w:hint="eastAsia"/>
          <w:highlight w:val="none"/>
        </w:rPr>
        <w:t>石油天然气井下作业。</w:t>
      </w:r>
    </w:p>
    <w:p w14:paraId="365C96B0">
      <w:pPr>
        <w:pStyle w:val="107"/>
        <w:spacing w:before="240" w:after="240"/>
      </w:pPr>
      <w:bookmarkStart w:id="46" w:name="_Toc97195092"/>
      <w:bookmarkStart w:id="47" w:name="_Toc26986531"/>
      <w:bookmarkStart w:id="48" w:name="_Toc8622"/>
      <w:bookmarkStart w:id="49" w:name="_Toc25389"/>
      <w:bookmarkStart w:id="50" w:name="_Toc26986772"/>
      <w:bookmarkStart w:id="51" w:name="_Toc3888"/>
      <w:bookmarkStart w:id="52" w:name="_Toc26718931"/>
      <w:bookmarkStart w:id="53" w:name="_Toc1257"/>
      <w:r>
        <w:rPr>
          <w:rFonts w:hint="eastAsia"/>
        </w:rPr>
        <w:t>规范性引用文件</w:t>
      </w:r>
      <w:bookmarkEnd w:id="41"/>
      <w:bookmarkEnd w:id="42"/>
      <w:bookmarkEnd w:id="43"/>
      <w:bookmarkEnd w:id="44"/>
      <w:bookmarkEnd w:id="45"/>
      <w:bookmarkEnd w:id="46"/>
      <w:bookmarkEnd w:id="47"/>
      <w:bookmarkEnd w:id="48"/>
      <w:bookmarkEnd w:id="49"/>
      <w:bookmarkEnd w:id="50"/>
      <w:bookmarkEnd w:id="51"/>
      <w:bookmarkEnd w:id="52"/>
      <w:bookmarkEnd w:id="53"/>
    </w:p>
    <w:sdt>
      <w:sdtPr>
        <w:rPr>
          <w:rFonts w:hint="eastAsia"/>
        </w:rPr>
        <w:id w:val="715848253"/>
        <w:placeholder>
          <w:docPart w:val="A965C74DFEEE470EAC1E9923B6B190E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04C84E74">
          <w:pPr>
            <w:pStyle w:val="60"/>
            <w:ind w:firstLine="420"/>
          </w:pPr>
          <w:r>
            <w:rPr>
              <w:rFonts w:hint="eastAsia" w:ascii="Times New Roman" w:hAnsi="Times New Roman" w:eastAsia="宋体" w:cs="Times New Roman"/>
              <w:sz w:val="21"/>
              <w:lang w:val="en-US" w:eastAsia="zh-CN" w:bidi="ar-S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CE53D0B">
      <w:pPr>
        <w:pStyle w:val="234"/>
        <w:ind w:firstLine="416"/>
        <w:rPr>
          <w:rFonts w:hint="eastAsia" w:hAnsi="宋体" w:cs="宋体"/>
          <w:spacing w:val="-1"/>
          <w:szCs w:val="21"/>
        </w:rPr>
      </w:pPr>
      <w:bookmarkStart w:id="54" w:name="_Toc97195093"/>
      <w:r>
        <w:rPr>
          <w:rFonts w:hint="eastAsia" w:hAnsi="宋体" w:cs="宋体"/>
          <w:spacing w:val="-1"/>
          <w:szCs w:val="21"/>
        </w:rPr>
        <w:t>GB/T 30574 机械安全 安全防护的实施准则</w:t>
      </w:r>
    </w:p>
    <w:p w14:paraId="0EDBD990">
      <w:pPr>
        <w:pStyle w:val="234"/>
        <w:ind w:firstLine="416"/>
        <w:rPr>
          <w:rFonts w:hint="eastAsia" w:hAnsi="宋体" w:cs="宋体"/>
          <w:spacing w:val="-1"/>
          <w:szCs w:val="21"/>
        </w:rPr>
      </w:pPr>
      <w:r>
        <w:rPr>
          <w:rFonts w:hint="eastAsia" w:hAnsi="宋体" w:cs="宋体"/>
          <w:spacing w:val="-1"/>
          <w:szCs w:val="21"/>
        </w:rPr>
        <w:t>GB 40554.1 海洋石油天然气开采安全规程 第1部分：总则</w:t>
      </w:r>
    </w:p>
    <w:p w14:paraId="6D62C420">
      <w:pPr>
        <w:pStyle w:val="234"/>
        <w:ind w:firstLine="416"/>
        <w:rPr>
          <w:rFonts w:hint="eastAsia" w:hAnsi="宋体" w:cs="宋体"/>
          <w:spacing w:val="-1"/>
          <w:szCs w:val="21"/>
        </w:rPr>
      </w:pPr>
      <w:r>
        <w:rPr>
          <w:rFonts w:hint="eastAsia" w:hAnsi="宋体" w:cs="宋体"/>
          <w:spacing w:val="-1"/>
          <w:szCs w:val="21"/>
        </w:rPr>
        <w:t>GB 40554.2 海洋石油天然气开采安全规程 第2部分：海上部分</w:t>
      </w:r>
    </w:p>
    <w:p w14:paraId="4BE8F3A0">
      <w:pPr>
        <w:pStyle w:val="234"/>
        <w:ind w:firstLine="416"/>
        <w:rPr>
          <w:rFonts w:hint="eastAsia" w:ascii="宋体" w:hAnsi="宋体" w:eastAsia="宋体" w:cs="宋体"/>
          <w:spacing w:val="-1"/>
          <w:szCs w:val="21"/>
          <w:highlight w:val="none"/>
          <w:lang w:val="en-US" w:eastAsia="zh-CN"/>
        </w:rPr>
      </w:pPr>
      <w:r>
        <w:rPr>
          <w:rFonts w:hint="eastAsia" w:ascii="宋体" w:hAnsi="宋体" w:eastAsia="宋体" w:cs="宋体"/>
          <w:spacing w:val="-1"/>
          <w:szCs w:val="21"/>
          <w:highlight w:val="none"/>
          <w:lang w:val="en-US" w:eastAsia="zh-CN"/>
        </w:rPr>
        <w:t>GB 40554.4 海洋石油天然气开采安全规程 第4部分：滩海部分</w:t>
      </w:r>
    </w:p>
    <w:p w14:paraId="204B2A4F">
      <w:pPr>
        <w:pStyle w:val="234"/>
        <w:ind w:firstLine="416"/>
        <w:rPr>
          <w:rFonts w:hint="eastAsia" w:hAnsi="宋体" w:cs="宋体"/>
          <w:spacing w:val="-1"/>
          <w:szCs w:val="21"/>
        </w:rPr>
      </w:pPr>
      <w:r>
        <w:rPr>
          <w:rFonts w:hint="eastAsia" w:hAnsi="宋体" w:cs="宋体"/>
          <w:spacing w:val="-1"/>
          <w:szCs w:val="21"/>
        </w:rPr>
        <w:t>GB 46995 含硫化氢天然气井安全防护规范</w:t>
      </w:r>
    </w:p>
    <w:p w14:paraId="21C1C09B">
      <w:pPr>
        <w:pStyle w:val="234"/>
        <w:ind w:firstLine="416"/>
        <w:rPr>
          <w:rFonts w:hint="default" w:hAnsi="宋体" w:eastAsia="宋体" w:cs="宋体"/>
          <w:spacing w:val="-1"/>
          <w:szCs w:val="21"/>
          <w:lang w:val="en-US" w:eastAsia="zh-CN"/>
        </w:rPr>
      </w:pPr>
      <w:r>
        <w:rPr>
          <w:rFonts w:hint="eastAsia" w:hAnsi="宋体" w:cs="宋体"/>
          <w:spacing w:val="-1"/>
          <w:szCs w:val="21"/>
          <w:lang w:val="en-US" w:eastAsia="zh-CN"/>
        </w:rPr>
        <w:t>AQ ****-2026 海洋石油天然气钻井安全规范</w:t>
      </w:r>
    </w:p>
    <w:bookmarkEnd w:id="26"/>
    <w:bookmarkEnd w:id="54"/>
    <w:p w14:paraId="01052C27">
      <w:pPr>
        <w:pStyle w:val="107"/>
        <w:spacing w:before="240" w:after="240"/>
        <w:rPr>
          <w:highlight w:val="none"/>
        </w:rPr>
      </w:pPr>
      <w:bookmarkStart w:id="55" w:name="_Toc18469"/>
      <w:bookmarkStart w:id="56" w:name="_Toc3408"/>
      <w:bookmarkStart w:id="57" w:name="_Toc30530"/>
      <w:bookmarkStart w:id="58" w:name="_Toc14266"/>
      <w:r>
        <w:rPr>
          <w:rFonts w:hint="eastAsia"/>
          <w:szCs w:val="21"/>
          <w:highlight w:val="none"/>
        </w:rPr>
        <w:t>术语和定义</w:t>
      </w:r>
      <w:bookmarkEnd w:id="55"/>
      <w:bookmarkEnd w:id="56"/>
      <w:bookmarkEnd w:id="57"/>
      <w:bookmarkEnd w:id="58"/>
    </w:p>
    <w:sdt>
      <w:sdtPr>
        <w:rPr>
          <w:highlight w:val="none"/>
        </w:rPr>
        <w:id w:val="-1"/>
        <w:placeholder>
          <w:docPart w:val="{48eb9d8d-e1f8-4611-81f3-1f228b7f2a0a}"/>
        </w:placeholder>
        <w:comboBox>
          <w:listItem w:displayText="点击此处，以便选择适当的引导语" w:value="点击此处，以便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highlight w:val="none"/>
        </w:rPr>
      </w:sdtEndPr>
      <w:sdtContent>
        <w:p w14:paraId="0A283CB4">
          <w:pPr>
            <w:pStyle w:val="60"/>
            <w:ind w:firstLine="420"/>
          </w:pPr>
          <w:bookmarkStart w:id="59" w:name="_Toc26986532"/>
          <w:bookmarkEnd w:id="59"/>
          <w:r>
            <w:rPr>
              <w:rFonts w:ascii="Times New Roman" w:hAnsi="Times New Roman" w:eastAsia="宋体" w:cs="Times New Roman"/>
              <w:sz w:val="21"/>
              <w:highlight w:val="none"/>
              <w:lang w:val="en-US" w:eastAsia="zh-CN" w:bidi="ar-SA"/>
            </w:rPr>
            <w:t>下列术语和定义适用于本文件。</w:t>
          </w:r>
        </w:p>
      </w:sdtContent>
    </w:sdt>
    <w:p w14:paraId="7868FE7A">
      <w:pPr>
        <w:keepNext w:val="0"/>
        <w:keepLines w:val="0"/>
        <w:pageBreakBefore w:val="0"/>
        <w:widowControl w:val="0"/>
        <w:numPr>
          <w:ilvl w:val="2"/>
          <w:numId w:val="2"/>
        </w:numPr>
        <w:kinsoku/>
        <w:wordWrap/>
        <w:overflowPunct/>
        <w:topLinePunct w:val="0"/>
        <w:autoSpaceDE/>
        <w:autoSpaceDN/>
        <w:bidi w:val="0"/>
        <w:adjustRightInd/>
        <w:snapToGrid/>
        <w:spacing w:beforeLines="0" w:afterLines="0" w:line="240" w:lineRule="auto"/>
        <w:ind w:left="0"/>
        <w:jc w:val="both"/>
        <w:textAlignment w:val="auto"/>
        <w:outlineLvl w:val="9"/>
        <w:rPr>
          <w:rFonts w:hint="eastAsia" w:ascii="Times New Roman" w:hAnsi="Times New Roman"/>
          <w:highlight w:val="none"/>
          <w:lang w:val="en-US" w:eastAsia="zh-CN"/>
        </w:rPr>
      </w:pPr>
      <w:bookmarkStart w:id="60" w:name="_Toc2552"/>
      <w:bookmarkEnd w:id="60"/>
      <w:bookmarkStart w:id="61" w:name="_Toc16902"/>
      <w:bookmarkEnd w:id="61"/>
      <w:bookmarkStart w:id="62" w:name="_Toc13977"/>
      <w:bookmarkEnd w:id="62"/>
      <w:bookmarkStart w:id="63" w:name="_Toc7310"/>
      <w:bookmarkEnd w:id="63"/>
      <w:bookmarkStart w:id="64" w:name="_Toc8231"/>
      <w:bookmarkEnd w:id="64"/>
      <w:bookmarkStart w:id="65" w:name="_Toc7296"/>
      <w:bookmarkEnd w:id="65"/>
    </w:p>
    <w:p w14:paraId="5FD97399">
      <w:pPr>
        <w:pStyle w:val="234"/>
        <w:spacing w:line="360" w:lineRule="auto"/>
        <w:ind w:firstLine="420"/>
        <w:rPr>
          <w:rFonts w:hint="default" w:hAnsi="宋体" w:eastAsia="黑体" w:cs="黑体"/>
          <w:kern w:val="2"/>
          <w:szCs w:val="22"/>
          <w:highlight w:val="none"/>
          <w:lang w:val="en-US" w:eastAsia="zh-CN"/>
        </w:rPr>
      </w:pPr>
      <w:r>
        <w:rPr>
          <w:rFonts w:hint="default" w:hAnsi="宋体" w:eastAsia="黑体" w:cs="黑体"/>
          <w:kern w:val="2"/>
          <w:szCs w:val="22"/>
          <w:highlight w:val="none"/>
          <w:lang w:val="en-US" w:eastAsia="zh-CN"/>
        </w:rPr>
        <w:t xml:space="preserve">井下作业  </w:t>
      </w:r>
      <w:r>
        <w:rPr>
          <w:rFonts w:hint="default" w:ascii="Times New Roman" w:hAnsi="Times New Roman" w:eastAsia="黑体" w:cs="Times New Roman"/>
          <w:kern w:val="2"/>
          <w:szCs w:val="22"/>
          <w:highlight w:val="none"/>
          <w:lang w:val="en-US" w:eastAsia="zh-CN"/>
        </w:rPr>
        <w:t>downhole operation</w:t>
      </w:r>
    </w:p>
    <w:p w14:paraId="0556B90C">
      <w:pPr>
        <w:pStyle w:val="60"/>
        <w:ind w:firstLine="420"/>
        <w:rPr>
          <w:rFonts w:hint="default"/>
          <w:highlight w:val="none"/>
          <w:lang w:val="en-US" w:eastAsia="zh-CN"/>
        </w:rPr>
      </w:pPr>
      <w:r>
        <w:rPr>
          <w:rFonts w:hint="default"/>
          <w:highlight w:val="none"/>
          <w:lang w:val="en-US" w:eastAsia="zh-CN"/>
        </w:rPr>
        <w:t>在井筒内进行的维护、改善和提高油气水井生产</w:t>
      </w:r>
      <w:r>
        <w:rPr>
          <w:rFonts w:hint="eastAsia"/>
          <w:highlight w:val="none"/>
          <w:lang w:val="en-US" w:eastAsia="zh-CN"/>
        </w:rPr>
        <w:t>或注水</w:t>
      </w:r>
      <w:r>
        <w:rPr>
          <w:rFonts w:hint="default"/>
          <w:highlight w:val="none"/>
          <w:lang w:val="en-US" w:eastAsia="zh-CN"/>
        </w:rPr>
        <w:t>能力的活动。</w:t>
      </w:r>
    </w:p>
    <w:p w14:paraId="0A27BCBF">
      <w:pPr>
        <w:pStyle w:val="60"/>
        <w:ind w:firstLine="420"/>
        <w:rPr>
          <w:rFonts w:hint="default" w:ascii="Times New Roman" w:hAnsi="Times New Roman"/>
          <w:highlight w:val="none"/>
          <w:lang w:val="en-US" w:eastAsia="zh-CN"/>
        </w:rPr>
      </w:pPr>
      <w:r>
        <w:rPr>
          <w:rFonts w:hint="default"/>
          <w:highlight w:val="none"/>
          <w:lang w:val="en-US" w:eastAsia="zh-CN"/>
        </w:rPr>
        <w:t>[来源：</w:t>
      </w:r>
      <w:r>
        <w:rPr>
          <w:rFonts w:hint="default" w:ascii="宋体" w:hAnsi="宋体" w:cs="宋体"/>
          <w:bCs/>
          <w:highlight w:val="none"/>
          <w:lang w:val="en-US" w:eastAsia="zh-CN"/>
        </w:rPr>
        <w:t>GB/T 8423.1-2018，2.59</w:t>
      </w:r>
      <w:r>
        <w:rPr>
          <w:rFonts w:hint="default"/>
          <w:highlight w:val="none"/>
          <w:lang w:val="en-US" w:eastAsia="zh-CN"/>
        </w:rPr>
        <w:t>，有修改]</w:t>
      </w:r>
    </w:p>
    <w:p w14:paraId="4A9D6604">
      <w:pPr>
        <w:keepNext w:val="0"/>
        <w:keepLines w:val="0"/>
        <w:pageBreakBefore w:val="0"/>
        <w:widowControl w:val="0"/>
        <w:numPr>
          <w:ilvl w:val="2"/>
          <w:numId w:val="2"/>
        </w:numPr>
        <w:kinsoku/>
        <w:wordWrap/>
        <w:overflowPunct/>
        <w:topLinePunct w:val="0"/>
        <w:autoSpaceDE/>
        <w:autoSpaceDN/>
        <w:bidi w:val="0"/>
        <w:adjustRightInd/>
        <w:snapToGrid/>
        <w:spacing w:beforeLines="0" w:afterLines="0" w:line="240" w:lineRule="auto"/>
        <w:ind w:left="0"/>
        <w:jc w:val="both"/>
        <w:textAlignment w:val="auto"/>
        <w:outlineLvl w:val="9"/>
        <w:rPr>
          <w:rFonts w:hint="default" w:ascii="Times New Roman" w:hAnsi="Times New Roman"/>
          <w:highlight w:val="none"/>
          <w:lang w:val="en-US" w:eastAsia="zh-CN"/>
        </w:rPr>
      </w:pPr>
    </w:p>
    <w:p w14:paraId="16B14D91">
      <w:pPr>
        <w:pStyle w:val="234"/>
        <w:spacing w:line="360" w:lineRule="auto"/>
        <w:ind w:firstLine="420"/>
        <w:rPr>
          <w:rFonts w:hAnsi="宋体" w:eastAsia="黑体"/>
        </w:rPr>
      </w:pPr>
      <w:r>
        <w:rPr>
          <w:rFonts w:hint="eastAsia" w:hAnsi="宋体" w:eastAsia="黑体"/>
        </w:rPr>
        <w:t xml:space="preserve">最大允许关井套压 </w:t>
      </w:r>
      <w:r>
        <w:rPr>
          <w:rFonts w:hint="eastAsia" w:hAnsi="宋体" w:eastAsia="黑体"/>
          <w:b w:val="0"/>
          <w:bCs w:val="0"/>
        </w:rPr>
        <w:t xml:space="preserve"> </w:t>
      </w:r>
      <w:r>
        <w:rPr>
          <w:rFonts w:hint="default" w:ascii="Times New Roman" w:hAnsi="Times New Roman" w:cs="Times New Roman"/>
          <w:b w:val="0"/>
          <w:bCs w:val="0"/>
          <w:kern w:val="0"/>
          <w:szCs w:val="21"/>
        </w:rPr>
        <w:t>maximum allowable annulus surface pressure（MAASP）</w:t>
      </w:r>
    </w:p>
    <w:p w14:paraId="656F262C">
      <w:pPr>
        <w:pStyle w:val="2"/>
        <w:keepNext w:val="0"/>
        <w:keepLines w:val="0"/>
        <w:pageBreakBefore w:val="0"/>
        <w:kinsoku/>
        <w:wordWrap/>
        <w:overflowPunct/>
        <w:topLinePunct w:val="0"/>
        <w:bidi w:val="0"/>
        <w:snapToGrid/>
        <w:spacing w:line="240" w:lineRule="auto"/>
        <w:textAlignment w:val="auto"/>
        <w:rPr>
          <w:rFonts w:hint="eastAsia" w:hAnsi="宋体"/>
          <w:kern w:val="0"/>
          <w:szCs w:val="20"/>
        </w:rPr>
      </w:pPr>
      <w:r>
        <w:rPr>
          <w:rFonts w:hint="eastAsia" w:hAnsi="宋体"/>
          <w:kern w:val="0"/>
          <w:szCs w:val="20"/>
        </w:rPr>
        <w:t>关井时套管环形空间所允许的井口最大压力。</w:t>
      </w:r>
    </w:p>
    <w:p w14:paraId="2738A9F2">
      <w:pPr>
        <w:pStyle w:val="2"/>
        <w:keepNext w:val="0"/>
        <w:keepLines w:val="0"/>
        <w:pageBreakBefore w:val="0"/>
        <w:kinsoku/>
        <w:wordWrap/>
        <w:overflowPunct/>
        <w:topLinePunct w:val="0"/>
        <w:bidi w:val="0"/>
        <w:snapToGrid/>
        <w:spacing w:line="24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18"/>
          <w:szCs w:val="18"/>
          <w:highlight w:val="none"/>
          <w:lang w:val="en-US" w:eastAsia="zh-CN"/>
        </w:rPr>
        <w:t>注1：新井不超过套管抗内压强度的80%、井口装置、防喷器</w:t>
      </w:r>
      <w:r>
        <w:rPr>
          <w:rFonts w:hint="eastAsia" w:ascii="宋体" w:hAnsi="宋体" w:cs="宋体"/>
          <w:sz w:val="18"/>
          <w:szCs w:val="18"/>
          <w:highlight w:val="none"/>
          <w:lang w:val="en-US" w:eastAsia="zh-CN"/>
        </w:rPr>
        <w:t>（组）</w:t>
      </w:r>
      <w:r>
        <w:rPr>
          <w:rFonts w:hint="eastAsia" w:ascii="宋体" w:hAnsi="宋体" w:eastAsia="宋体" w:cs="宋体"/>
          <w:sz w:val="18"/>
          <w:szCs w:val="18"/>
          <w:highlight w:val="none"/>
          <w:lang w:val="en-US" w:eastAsia="zh-CN"/>
        </w:rPr>
        <w:t>额定工作压力三者中的最小值</w:t>
      </w:r>
      <w:r>
        <w:rPr>
          <w:rFonts w:hint="eastAsia" w:ascii="宋体" w:hAnsi="宋体" w:cs="宋体"/>
          <w:sz w:val="18"/>
          <w:szCs w:val="18"/>
          <w:highlight w:val="none"/>
          <w:lang w:val="en-US" w:eastAsia="zh-CN"/>
        </w:rPr>
        <w:t>。</w:t>
      </w:r>
    </w:p>
    <w:p w14:paraId="6249DEDA">
      <w:pPr>
        <w:pStyle w:val="2"/>
        <w:keepNext w:val="0"/>
        <w:keepLines w:val="0"/>
        <w:pageBreakBefore w:val="0"/>
        <w:kinsoku/>
        <w:wordWrap/>
        <w:overflowPunct/>
        <w:topLinePunct w:val="0"/>
        <w:bidi w:val="0"/>
        <w:snapToGrid/>
        <w:spacing w:line="240" w:lineRule="auto"/>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注2：老井</w:t>
      </w:r>
      <w:r>
        <w:rPr>
          <w:rFonts w:hint="eastAsia" w:ascii="宋体" w:hAnsi="宋体" w:cs="宋体"/>
          <w:sz w:val="18"/>
          <w:szCs w:val="18"/>
          <w:highlight w:val="none"/>
          <w:lang w:val="en-US" w:eastAsia="zh-CN"/>
        </w:rPr>
        <w:t>还应</w:t>
      </w:r>
      <w:r>
        <w:rPr>
          <w:rFonts w:hint="eastAsia" w:ascii="宋体" w:hAnsi="宋体" w:eastAsia="宋体" w:cs="宋体"/>
          <w:sz w:val="18"/>
          <w:szCs w:val="18"/>
          <w:highlight w:val="none"/>
          <w:lang w:val="en-US" w:eastAsia="zh-CN"/>
        </w:rPr>
        <w:t>根据本区域套损情况以及套管服役年限，参考最近一次的套损检测资料或套管试压数据确定。</w:t>
      </w:r>
    </w:p>
    <w:p w14:paraId="247765F7">
      <w:pPr>
        <w:pStyle w:val="60"/>
        <w:keepNext w:val="0"/>
        <w:keepLines w:val="0"/>
        <w:pageBreakBefore w:val="0"/>
        <w:shd w:val="clear" w:color="auto" w:fill="auto"/>
        <w:kinsoku/>
        <w:wordWrap/>
        <w:overflowPunct/>
        <w:topLinePunct w:val="0"/>
        <w:bidi w:val="0"/>
        <w:snapToGrid/>
        <w:spacing w:line="240" w:lineRule="auto"/>
        <w:textAlignment w:val="auto"/>
        <w:rPr>
          <w:rFonts w:hint="eastAsia" w:ascii="宋体" w:hAnsi="宋体" w:eastAsia="宋体" w:cs="宋体"/>
          <w:bCs/>
          <w:highlight w:val="none"/>
          <w:lang w:val="en-US" w:eastAsia="zh-CN"/>
        </w:rPr>
      </w:pPr>
      <w:r>
        <w:rPr>
          <w:rFonts w:hint="eastAsia" w:ascii="宋体" w:hAnsi="宋体" w:eastAsia="宋体" w:cs="宋体"/>
          <w:bCs/>
          <w:highlight w:val="none"/>
          <w:lang w:val="en-US" w:eastAsia="zh-CN"/>
        </w:rPr>
        <w:t>[来源：SY/T 6690-2024</w:t>
      </w:r>
      <w:r>
        <w:rPr>
          <w:rFonts w:hint="eastAsia" w:ascii="宋体" w:hAnsi="宋体" w:eastAsia="宋体" w:cs="宋体"/>
          <w:bCs/>
          <w:highlight w:val="none"/>
          <w:lang w:eastAsia="zh-CN"/>
        </w:rPr>
        <w:t>，</w:t>
      </w:r>
      <w:r>
        <w:rPr>
          <w:rFonts w:hint="eastAsia" w:ascii="宋体" w:hAnsi="宋体" w:eastAsia="宋体" w:cs="宋体"/>
          <w:bCs/>
          <w:highlight w:val="none"/>
          <w:lang w:val="en-US" w:eastAsia="zh-CN"/>
        </w:rPr>
        <w:t>3.15，有修改]</w:t>
      </w:r>
    </w:p>
    <w:p w14:paraId="72F37C7B">
      <w:pPr>
        <w:pStyle w:val="107"/>
        <w:keepNext w:val="0"/>
        <w:keepLines w:val="0"/>
        <w:pageBreakBefore w:val="0"/>
        <w:kinsoku/>
        <w:wordWrap/>
        <w:overflowPunct/>
        <w:topLinePunct w:val="0"/>
        <w:autoSpaceDE/>
        <w:autoSpaceDN/>
        <w:bidi w:val="0"/>
        <w:adjustRightInd/>
        <w:snapToGrid/>
        <w:spacing w:before="240" w:after="240" w:line="240" w:lineRule="auto"/>
        <w:textAlignment w:val="auto"/>
        <w:rPr>
          <w:highlight w:val="none"/>
        </w:rPr>
      </w:pPr>
      <w:bookmarkStart w:id="66" w:name="_Toc15457"/>
      <w:bookmarkStart w:id="67" w:name="_Toc30987"/>
      <w:bookmarkStart w:id="68" w:name="_Toc28834"/>
      <w:bookmarkStart w:id="69" w:name="_Toc24496"/>
      <w:r>
        <w:rPr>
          <w:rFonts w:hint="eastAsia"/>
          <w:highlight w:val="none"/>
          <w:lang w:val="en-US" w:eastAsia="zh-CN"/>
        </w:rPr>
        <w:t>基本要求</w:t>
      </w:r>
      <w:bookmarkEnd w:id="66"/>
      <w:bookmarkEnd w:id="67"/>
      <w:bookmarkEnd w:id="68"/>
      <w:bookmarkEnd w:id="69"/>
    </w:p>
    <w:p w14:paraId="1EE4F9AC">
      <w:pPr>
        <w:pStyle w:val="165"/>
        <w:numPr>
          <w:ilvl w:val="2"/>
          <w:numId w:val="2"/>
        </w:numPr>
        <w:ind w:left="0"/>
        <w:rPr>
          <w:rFonts w:hAnsi="宋体"/>
        </w:rPr>
      </w:pPr>
      <w:bookmarkStart w:id="70" w:name="_Toc25632"/>
      <w:bookmarkStart w:id="71" w:name="_Toc17261"/>
      <w:bookmarkStart w:id="72" w:name="_Toc26658"/>
      <w:bookmarkStart w:id="73" w:name="_Toc6281"/>
      <w:bookmarkStart w:id="74" w:name="_Toc23156"/>
      <w:bookmarkStart w:id="75" w:name="_Toc3527"/>
      <w:bookmarkStart w:id="76" w:name="_Toc22240"/>
      <w:bookmarkStart w:id="77" w:name="_Toc164158638"/>
      <w:bookmarkStart w:id="78" w:name="_Toc9765"/>
      <w:bookmarkStart w:id="79" w:name="_Toc164158306"/>
      <w:bookmarkStart w:id="80" w:name="_Toc164090054"/>
      <w:bookmarkStart w:id="81" w:name="_Toc8287"/>
      <w:bookmarkStart w:id="82" w:name="_Toc3393"/>
      <w:bookmarkStart w:id="83" w:name="_Toc5029"/>
      <w:bookmarkStart w:id="84" w:name="_Toc10642"/>
      <w:bookmarkStart w:id="85" w:name="_Toc16666"/>
      <w:bookmarkStart w:id="86" w:name="_Toc9804"/>
      <w:bookmarkStart w:id="87" w:name="_Toc3128"/>
      <w:bookmarkStart w:id="88" w:name="_Toc11038"/>
      <w:bookmarkStart w:id="89" w:name="_Toc28629"/>
      <w:r>
        <w:rPr>
          <w:rFonts w:hint="eastAsia" w:ascii="宋体" w:hAnsi="宋体" w:eastAsia="宋体" w:cs="宋体"/>
          <w:highlight w:val="none"/>
        </w:rPr>
        <w:t>作业者或承包者</w:t>
      </w:r>
      <w:r>
        <w:rPr>
          <w:rFonts w:hint="eastAsia" w:hAnsi="宋体" w:cs="宋体"/>
          <w:highlight w:val="none"/>
          <w:lang w:val="en-US" w:eastAsia="zh-CN"/>
        </w:rPr>
        <w:t>制定的</w:t>
      </w:r>
      <w:r>
        <w:rPr>
          <w:rFonts w:hint="eastAsia" w:hAnsi="宋体" w:cs="Times New Roman"/>
          <w:lang w:val="en-US" w:eastAsia="zh-CN"/>
        </w:rPr>
        <w:t>安全</w:t>
      </w:r>
      <w:r>
        <w:rPr>
          <w:rFonts w:hint="eastAsia" w:hAnsi="宋体" w:cs="宋体"/>
          <w:highlight w:val="none"/>
          <w:lang w:val="en-US" w:eastAsia="zh-CN"/>
        </w:rPr>
        <w:t>风险与隐患管理、安全培训与教育、</w:t>
      </w:r>
      <w:r>
        <w:rPr>
          <w:rFonts w:hint="eastAsia" w:ascii="宋体" w:hAnsi="宋体" w:eastAsia="宋体" w:cs="宋体"/>
          <w:color w:val="auto"/>
          <w:highlight w:val="none"/>
          <w:lang w:val="en-US" w:eastAsia="zh-CN"/>
        </w:rPr>
        <w:t>承包者安全管理</w:t>
      </w:r>
      <w:r>
        <w:rPr>
          <w:rFonts w:hint="eastAsia" w:hAnsi="宋体" w:cs="宋体"/>
          <w:color w:val="auto"/>
          <w:highlight w:val="none"/>
          <w:lang w:val="en-US" w:eastAsia="zh-CN"/>
        </w:rPr>
        <w:t>、设备完整性、</w:t>
      </w:r>
      <w:r>
        <w:rPr>
          <w:rFonts w:hint="eastAsia" w:ascii="宋体" w:hAnsi="宋体" w:eastAsia="宋体" w:cs="Times New Roman"/>
        </w:rPr>
        <w:t>隔离与锁定</w:t>
      </w:r>
      <w:r>
        <w:rPr>
          <w:rFonts w:hint="eastAsia" w:hAnsi="宋体" w:cs="Times New Roman"/>
          <w:lang w:eastAsia="zh-CN"/>
        </w:rPr>
        <w:t>、</w:t>
      </w:r>
      <w:r>
        <w:rPr>
          <w:rFonts w:hint="eastAsia" w:ascii="宋体" w:hAnsi="宋体" w:eastAsia="宋体" w:cs="宋体"/>
          <w:bCs/>
          <w:szCs w:val="32"/>
          <w:highlight w:val="none"/>
        </w:rPr>
        <w:t>个体</w:t>
      </w:r>
      <w:r>
        <w:rPr>
          <w:rFonts w:hint="eastAsia" w:hAnsi="宋体" w:cs="宋体"/>
          <w:bCs/>
          <w:szCs w:val="32"/>
          <w:highlight w:val="none"/>
          <w:lang w:val="en-US" w:eastAsia="zh-CN"/>
        </w:rPr>
        <w:t>劳动</w:t>
      </w:r>
      <w:r>
        <w:rPr>
          <w:rFonts w:hint="eastAsia" w:ascii="宋体" w:hAnsi="宋体" w:eastAsia="宋体" w:cs="宋体"/>
          <w:bCs/>
          <w:szCs w:val="32"/>
          <w:highlight w:val="none"/>
        </w:rPr>
        <w:t>防护</w:t>
      </w:r>
      <w:r>
        <w:rPr>
          <w:rFonts w:hint="eastAsia" w:hAnsi="宋体" w:cs="宋体"/>
          <w:bCs/>
          <w:szCs w:val="32"/>
          <w:highlight w:val="none"/>
          <w:lang w:eastAsia="zh-CN"/>
        </w:rPr>
        <w:t>、</w:t>
      </w:r>
      <w:r>
        <w:rPr>
          <w:rFonts w:hint="eastAsia" w:ascii="宋体" w:hAnsi="宋体" w:eastAsia="宋体" w:cs="宋体"/>
          <w:highlight w:val="none"/>
          <w:lang w:val="en-US" w:eastAsia="zh-CN"/>
        </w:rPr>
        <w:t>变更管理</w:t>
      </w:r>
      <w:r>
        <w:rPr>
          <w:rFonts w:hint="eastAsia" w:hAnsi="宋体" w:cs="宋体"/>
          <w:highlight w:val="none"/>
          <w:lang w:val="en-US" w:eastAsia="zh-CN"/>
        </w:rPr>
        <w:t>、交叉</w:t>
      </w:r>
      <w:r>
        <w:rPr>
          <w:rFonts w:hint="eastAsia" w:hAnsi="宋体" w:cs="Times New Roman"/>
          <w:lang w:val="en-US" w:eastAsia="zh-CN"/>
        </w:rPr>
        <w:t>作业等</w:t>
      </w:r>
      <w:r>
        <w:rPr>
          <w:rFonts w:hint="eastAsia" w:hAnsi="宋体"/>
          <w:lang w:val="en-US" w:eastAsia="zh-CN"/>
        </w:rPr>
        <w:t>安全管理制度应参照AQ ****-2026执行。</w:t>
      </w:r>
    </w:p>
    <w:bookmarkEnd w:id="70"/>
    <w:bookmarkEnd w:id="71"/>
    <w:p w14:paraId="3E190EF4">
      <w:pPr>
        <w:pStyle w:val="165"/>
        <w:numPr>
          <w:ilvl w:val="2"/>
          <w:numId w:val="2"/>
        </w:numPr>
        <w:ind w:left="0"/>
        <w:rPr>
          <w:rFonts w:hint="eastAsia" w:ascii="宋体" w:hAnsi="宋体" w:eastAsia="宋体" w:cs="Times New Roman"/>
          <w:highlight w:val="none"/>
        </w:rPr>
      </w:pPr>
      <w:r>
        <w:rPr>
          <w:rFonts w:hint="eastAsia" w:ascii="宋体" w:hAnsi="宋体" w:eastAsia="宋体" w:cs="Times New Roman"/>
          <w:highlight w:val="none"/>
        </w:rPr>
        <w:t>作业者或承包者应建立井下作业开工验收和</w:t>
      </w:r>
      <w:r>
        <w:rPr>
          <w:rFonts w:hint="eastAsia" w:hAnsi="宋体" w:cs="Times New Roman"/>
          <w:highlight w:val="none"/>
          <w:lang w:val="en-US" w:eastAsia="zh-CN"/>
        </w:rPr>
        <w:t>打开（</w:t>
      </w:r>
      <w:r>
        <w:rPr>
          <w:rFonts w:hint="eastAsia" w:ascii="宋体" w:hAnsi="宋体" w:eastAsia="宋体" w:cs="Times New Roman"/>
          <w:highlight w:val="none"/>
        </w:rPr>
        <w:t>射开</w:t>
      </w:r>
      <w:r>
        <w:rPr>
          <w:rFonts w:hint="eastAsia" w:hAnsi="宋体" w:cs="Times New Roman"/>
          <w:highlight w:val="none"/>
          <w:lang w:val="en-US" w:eastAsia="zh-CN"/>
        </w:rPr>
        <w:t>）</w:t>
      </w:r>
      <w:r>
        <w:rPr>
          <w:rFonts w:hint="eastAsia" w:ascii="宋体" w:hAnsi="宋体" w:eastAsia="宋体" w:cs="Times New Roman"/>
          <w:highlight w:val="none"/>
        </w:rPr>
        <w:t>作业层位前验收审批制度。</w:t>
      </w:r>
    </w:p>
    <w:p w14:paraId="7DD58041">
      <w:pPr>
        <w:pStyle w:val="107"/>
        <w:spacing w:before="240" w:after="240"/>
      </w:pPr>
      <w:bookmarkStart w:id="90" w:name="_Toc4656"/>
      <w:bookmarkStart w:id="91" w:name="_Toc7429"/>
      <w:bookmarkStart w:id="92" w:name="_Toc12404"/>
      <w:bookmarkStart w:id="93" w:name="_Toc20314"/>
      <w:r>
        <w:rPr>
          <w:rFonts w:hint="eastAsia" w:hAnsi="黑体"/>
          <w:bCs/>
          <w:color w:val="000000"/>
          <w:szCs w:val="21"/>
          <w:lang w:eastAsia="zh-CN"/>
        </w:rPr>
        <w:t>设计</w:t>
      </w:r>
      <w:bookmarkEnd w:id="90"/>
      <w:bookmarkEnd w:id="91"/>
      <w:bookmarkEnd w:id="92"/>
      <w:bookmarkEnd w:id="93"/>
    </w:p>
    <w:p w14:paraId="69261C73">
      <w:pPr>
        <w:pStyle w:val="108"/>
        <w:spacing w:before="120" w:after="120"/>
      </w:pPr>
      <w:bookmarkStart w:id="94" w:name="_Toc26388"/>
      <w:bookmarkStart w:id="95" w:name="_Toc29525"/>
      <w:bookmarkStart w:id="96" w:name="_Toc15039"/>
      <w:bookmarkStart w:id="97" w:name="_Toc8729"/>
      <w:r>
        <w:rPr>
          <w:rFonts w:hint="eastAsia" w:hAnsi="黑体" w:cs="黑体"/>
          <w:bCs/>
          <w:color w:val="000000"/>
          <w:szCs w:val="21"/>
          <w:lang w:val="en-US" w:eastAsia="zh-CN"/>
        </w:rPr>
        <w:t>基本要求</w:t>
      </w:r>
      <w:bookmarkEnd w:id="94"/>
      <w:bookmarkEnd w:id="95"/>
      <w:bookmarkEnd w:id="96"/>
      <w:bookmarkEnd w:id="97"/>
    </w:p>
    <w:p w14:paraId="5B7FADDA">
      <w:pPr>
        <w:pStyle w:val="69"/>
        <w:numPr>
          <w:ilvl w:val="3"/>
          <w:numId w:val="2"/>
        </w:numPr>
        <w:spacing w:before="0" w:beforeLines="0" w:after="0" w:afterLines="0"/>
        <w:rPr>
          <w:rFonts w:hint="eastAsia" w:ascii="宋体" w:hAnsi="宋体" w:eastAsia="宋体" w:cs="宋体"/>
        </w:rPr>
      </w:pPr>
      <w:bookmarkStart w:id="98" w:name="_Toc23293"/>
      <w:bookmarkStart w:id="99" w:name="_Toc5784"/>
      <w:bookmarkStart w:id="100" w:name="_Toc14978"/>
      <w:bookmarkStart w:id="101" w:name="_Toc3152"/>
      <w:bookmarkStart w:id="102" w:name="_Toc22030"/>
      <w:bookmarkStart w:id="103" w:name="_Toc7638"/>
      <w:r>
        <w:rPr>
          <w:rFonts w:hint="eastAsia" w:ascii="宋体" w:hAnsi="宋体" w:eastAsia="宋体" w:cs="宋体"/>
        </w:rPr>
        <w:t>作业者和承包者应建立设计编制、审核、审批及变更管理制度</w:t>
      </w:r>
      <w:r>
        <w:rPr>
          <w:rFonts w:hint="eastAsia" w:ascii="宋体" w:hAnsi="宋体" w:eastAsia="宋体" w:cs="宋体"/>
          <w:lang w:eastAsia="zh-CN"/>
        </w:rPr>
        <w:t>，</w:t>
      </w:r>
      <w:r>
        <w:rPr>
          <w:rFonts w:hint="eastAsia" w:ascii="宋体" w:hAnsi="宋体" w:eastAsia="宋体" w:cs="宋体"/>
        </w:rPr>
        <w:t>地质设计和作业设计应按程序进行审批。</w:t>
      </w:r>
      <w:bookmarkEnd w:id="98"/>
      <w:bookmarkEnd w:id="99"/>
      <w:bookmarkEnd w:id="100"/>
      <w:bookmarkEnd w:id="101"/>
      <w:bookmarkEnd w:id="102"/>
      <w:bookmarkEnd w:id="103"/>
    </w:p>
    <w:p w14:paraId="6504A2E7">
      <w:pPr>
        <w:pStyle w:val="69"/>
        <w:numPr>
          <w:ilvl w:val="3"/>
          <w:numId w:val="2"/>
        </w:numPr>
        <w:spacing w:before="0" w:beforeLines="0" w:after="0" w:afterLines="0"/>
        <w:rPr>
          <w:rFonts w:hint="eastAsia"/>
        </w:rPr>
      </w:pPr>
      <w:bookmarkStart w:id="104" w:name="_Toc32174"/>
      <w:bookmarkStart w:id="105" w:name="_Toc3907"/>
      <w:bookmarkStart w:id="106" w:name="_Toc11971"/>
      <w:bookmarkStart w:id="107" w:name="_Toc5014"/>
      <w:bookmarkStart w:id="108" w:name="_Toc19296"/>
      <w:r>
        <w:rPr>
          <w:rFonts w:hint="eastAsia" w:ascii="宋体" w:hAnsi="宋体" w:eastAsia="宋体" w:cs="宋体"/>
          <w:highlight w:val="none"/>
          <w:lang w:val="en-US" w:eastAsia="zh-CN"/>
        </w:rPr>
        <w:t>作业者或承包者应</w:t>
      </w:r>
      <w:r>
        <w:rPr>
          <w:rFonts w:hint="eastAsia" w:ascii="宋体" w:hAnsi="宋体" w:eastAsia="宋体" w:cs="宋体"/>
          <w:sz w:val="21"/>
          <w:szCs w:val="21"/>
          <w:highlight w:val="none"/>
        </w:rPr>
        <w:t>明确</w:t>
      </w:r>
      <w:r>
        <w:rPr>
          <w:rFonts w:hint="eastAsia" w:ascii="宋体" w:hAnsi="宋体" w:eastAsia="宋体" w:cs="宋体"/>
          <w:sz w:val="21"/>
          <w:szCs w:val="21"/>
          <w:highlight w:val="none"/>
          <w:lang w:val="en-US" w:eastAsia="zh-CN"/>
        </w:rPr>
        <w:t>设计</w:t>
      </w:r>
      <w:r>
        <w:rPr>
          <w:rFonts w:hint="eastAsia" w:ascii="宋体" w:hAnsi="宋体" w:eastAsia="宋体" w:cs="宋体"/>
          <w:sz w:val="21"/>
          <w:szCs w:val="21"/>
          <w:highlight w:val="none"/>
        </w:rPr>
        <w:t>变更</w:t>
      </w:r>
      <w:r>
        <w:rPr>
          <w:rFonts w:hint="eastAsia" w:ascii="宋体" w:hAnsi="宋体" w:eastAsia="宋体" w:cs="宋体"/>
          <w:sz w:val="21"/>
          <w:szCs w:val="21"/>
          <w:highlight w:val="none"/>
          <w:lang w:val="en-US" w:eastAsia="zh-CN"/>
        </w:rPr>
        <w:t>内容</w:t>
      </w:r>
      <w:r>
        <w:rPr>
          <w:rFonts w:hint="eastAsia" w:ascii="宋体" w:hAnsi="宋体" w:eastAsia="宋体" w:cs="宋体"/>
          <w:highlight w:val="none"/>
          <w:lang w:val="en-US" w:eastAsia="zh-CN"/>
        </w:rPr>
        <w:t>，</w:t>
      </w:r>
      <w:r>
        <w:rPr>
          <w:rFonts w:hint="eastAsia" w:ascii="宋体" w:hAnsi="宋体" w:eastAsia="宋体" w:cs="宋体"/>
          <w:sz w:val="21"/>
          <w:szCs w:val="21"/>
          <w:highlight w:val="none"/>
          <w:lang w:val="en-US" w:eastAsia="zh-CN"/>
        </w:rPr>
        <w:t>开展风险识别，制定应对措施，履行变更审查、报批等管理程序。</w:t>
      </w:r>
      <w:bookmarkEnd w:id="104"/>
      <w:bookmarkEnd w:id="105"/>
      <w:bookmarkEnd w:id="106"/>
      <w:bookmarkEnd w:id="107"/>
      <w:bookmarkEnd w:id="108"/>
    </w:p>
    <w:p w14:paraId="1900F25B">
      <w:pPr>
        <w:pStyle w:val="69"/>
        <w:numPr>
          <w:ilvl w:val="3"/>
          <w:numId w:val="2"/>
        </w:numPr>
        <w:spacing w:before="0" w:beforeLines="0" w:after="0" w:afterLines="0"/>
        <w:rPr>
          <w:rFonts w:hint="eastAsia" w:ascii="宋体" w:hAnsi="宋体" w:eastAsia="宋体" w:cs="宋体"/>
        </w:rPr>
      </w:pPr>
      <w:bookmarkStart w:id="109" w:name="_Toc19168"/>
      <w:bookmarkStart w:id="110" w:name="_Toc24347"/>
      <w:bookmarkStart w:id="111" w:name="_Toc9979"/>
      <w:bookmarkStart w:id="112" w:name="_Toc20265"/>
      <w:bookmarkStart w:id="113" w:name="_Toc30676"/>
      <w:bookmarkStart w:id="114" w:name="_Toc9851"/>
      <w:r>
        <w:rPr>
          <w:rFonts w:hint="eastAsia" w:ascii="宋体" w:hAnsi="宋体" w:eastAsia="宋体" w:cs="宋体"/>
        </w:rPr>
        <w:t>作业者应明确设计单位和设计人员的能力要求。</w:t>
      </w:r>
      <w:bookmarkEnd w:id="109"/>
      <w:bookmarkEnd w:id="110"/>
      <w:bookmarkEnd w:id="111"/>
      <w:bookmarkEnd w:id="112"/>
      <w:bookmarkEnd w:id="113"/>
      <w:bookmarkEnd w:id="114"/>
    </w:p>
    <w:p w14:paraId="65D2EF22">
      <w:pPr>
        <w:pStyle w:val="69"/>
        <w:numPr>
          <w:ilvl w:val="3"/>
          <w:numId w:val="2"/>
        </w:numPr>
        <w:spacing w:before="0" w:beforeLines="0" w:after="0" w:afterLines="0"/>
        <w:rPr>
          <w:rFonts w:hint="eastAsia" w:ascii="宋体" w:hAnsi="宋体" w:eastAsia="宋体" w:cs="宋体"/>
          <w:highlight w:val="none"/>
        </w:rPr>
      </w:pPr>
      <w:bookmarkStart w:id="115" w:name="_Toc21905"/>
      <w:bookmarkStart w:id="116" w:name="_Toc18371"/>
      <w:bookmarkStart w:id="117" w:name="_Toc1880"/>
      <w:bookmarkStart w:id="118" w:name="_Toc32045"/>
      <w:bookmarkStart w:id="119" w:name="_Toc25628"/>
      <w:r>
        <w:rPr>
          <w:rFonts w:hint="eastAsia" w:ascii="宋体" w:hAnsi="宋体" w:eastAsia="宋体" w:cs="宋体"/>
          <w:highlight w:val="none"/>
          <w:lang w:val="en-US" w:eastAsia="zh-CN"/>
        </w:rPr>
        <w:t>滩海陆岸、人工岛井下作业设计应符合</w:t>
      </w:r>
      <w:r>
        <w:rPr>
          <w:rFonts w:hint="eastAsia" w:ascii="宋体" w:hAnsi="宋体" w:eastAsia="宋体" w:cs="宋体"/>
          <w:highlight w:val="none"/>
        </w:rPr>
        <w:t>GB 40554.4的要求</w:t>
      </w:r>
      <w:r>
        <w:rPr>
          <w:rFonts w:hint="eastAsia" w:ascii="宋体" w:hAnsi="宋体" w:eastAsia="宋体" w:cs="宋体"/>
          <w:highlight w:val="none"/>
          <w:lang w:eastAsia="zh-CN"/>
        </w:rPr>
        <w:t>。</w:t>
      </w:r>
      <w:bookmarkEnd w:id="115"/>
      <w:bookmarkEnd w:id="116"/>
      <w:bookmarkEnd w:id="117"/>
      <w:bookmarkEnd w:id="118"/>
      <w:bookmarkEnd w:id="119"/>
    </w:p>
    <w:p w14:paraId="0B2BBAE7">
      <w:pPr>
        <w:pStyle w:val="108"/>
        <w:spacing w:before="120" w:after="120"/>
        <w:rPr>
          <w:rFonts w:hint="eastAsia" w:hAnsi="黑体" w:cs="黑体"/>
          <w:bCs/>
          <w:color w:val="000000"/>
          <w:szCs w:val="21"/>
          <w:lang w:val="en-US" w:eastAsia="zh-CN"/>
        </w:rPr>
      </w:pPr>
      <w:bookmarkStart w:id="120" w:name="_Toc1780"/>
      <w:bookmarkStart w:id="121" w:name="_Toc1135"/>
      <w:bookmarkStart w:id="122" w:name="_Toc17297"/>
      <w:bookmarkStart w:id="123" w:name="_Toc25816"/>
      <w:r>
        <w:rPr>
          <w:rFonts w:hint="eastAsia" w:hAnsi="黑体" w:cs="黑体"/>
          <w:bCs/>
          <w:color w:val="000000"/>
          <w:szCs w:val="21"/>
          <w:lang w:val="en-US" w:eastAsia="zh-CN"/>
        </w:rPr>
        <w:t>地质设计</w:t>
      </w:r>
      <w:bookmarkEnd w:id="120"/>
      <w:bookmarkEnd w:id="121"/>
      <w:bookmarkEnd w:id="122"/>
      <w:bookmarkEnd w:id="123"/>
    </w:p>
    <w:p w14:paraId="7F122ABC">
      <w:pPr>
        <w:pStyle w:val="69"/>
        <w:numPr>
          <w:ilvl w:val="3"/>
          <w:numId w:val="2"/>
        </w:numPr>
        <w:spacing w:before="0" w:beforeLines="0" w:after="0" w:afterLines="0"/>
        <w:rPr>
          <w:rFonts w:hint="eastAsia" w:ascii="宋体" w:hAnsi="宋体" w:eastAsia="宋体" w:cs="宋体"/>
        </w:rPr>
      </w:pPr>
      <w:bookmarkStart w:id="124" w:name="_Toc23256"/>
      <w:bookmarkStart w:id="125" w:name="_Toc12574"/>
      <w:bookmarkStart w:id="126" w:name="_Toc31698"/>
      <w:bookmarkStart w:id="127" w:name="_Toc25138"/>
      <w:bookmarkStart w:id="128" w:name="_Toc1307"/>
      <w:bookmarkStart w:id="129" w:name="_Toc10539"/>
      <w:r>
        <w:rPr>
          <w:rFonts w:hint="eastAsia" w:ascii="宋体" w:hAnsi="宋体" w:eastAsia="宋体" w:cs="宋体"/>
        </w:rPr>
        <w:t>应提供本井的地质</w:t>
      </w:r>
      <w:r>
        <w:rPr>
          <w:rFonts w:hint="eastAsia" w:ascii="宋体" w:hAnsi="宋体" w:eastAsia="宋体" w:cs="宋体"/>
          <w:lang w:val="en-US" w:eastAsia="zh-CN"/>
        </w:rPr>
        <w:t>资料</w:t>
      </w:r>
      <w:r>
        <w:rPr>
          <w:rFonts w:hint="eastAsia" w:ascii="宋体" w:hAnsi="宋体" w:eastAsia="宋体" w:cs="宋体"/>
        </w:rPr>
        <w:t>、钻完井资料、地层流体性质、压力温度、射孔数据、</w:t>
      </w:r>
      <w:r>
        <w:rPr>
          <w:rFonts w:hint="eastAsia" w:ascii="宋体" w:hAnsi="宋体" w:eastAsia="宋体" w:cs="宋体"/>
          <w:lang w:val="en-US" w:eastAsia="zh-CN"/>
        </w:rPr>
        <w:t>测试数据、历史</w:t>
      </w:r>
      <w:r>
        <w:rPr>
          <w:rFonts w:hint="eastAsia" w:ascii="宋体" w:hAnsi="宋体" w:eastAsia="宋体" w:cs="宋体"/>
        </w:rPr>
        <w:t>生产</w:t>
      </w:r>
      <w:r>
        <w:rPr>
          <w:rFonts w:hint="eastAsia" w:ascii="宋体" w:hAnsi="宋体" w:eastAsia="宋体" w:cs="宋体"/>
          <w:lang w:val="en-US" w:eastAsia="zh-CN"/>
        </w:rPr>
        <w:t>数据</w:t>
      </w:r>
      <w:r>
        <w:rPr>
          <w:rFonts w:hint="eastAsia" w:ascii="宋体" w:hAnsi="宋体" w:eastAsia="宋体" w:cs="宋体"/>
        </w:rPr>
        <w:t>、邻井</w:t>
      </w:r>
      <w:r>
        <w:rPr>
          <w:rFonts w:hint="eastAsia" w:ascii="宋体" w:hAnsi="宋体" w:eastAsia="宋体" w:cs="宋体"/>
          <w:lang w:val="en-US" w:eastAsia="zh-CN"/>
        </w:rPr>
        <w:t>资料和异常压力提示</w:t>
      </w:r>
      <w:r>
        <w:rPr>
          <w:rFonts w:hint="eastAsia" w:ascii="宋体" w:hAnsi="宋体" w:eastAsia="宋体" w:cs="宋体"/>
          <w:lang w:eastAsia="zh-CN"/>
        </w:rPr>
        <w:t>，</w:t>
      </w:r>
      <w:r>
        <w:rPr>
          <w:rFonts w:hint="eastAsia" w:ascii="宋体" w:hAnsi="宋体" w:eastAsia="宋体" w:cs="宋体"/>
          <w:lang w:val="en-US" w:eastAsia="zh-CN"/>
        </w:rPr>
        <w:t>并</w:t>
      </w:r>
      <w:bookmarkStart w:id="130" w:name="OLE_LINK2"/>
      <w:r>
        <w:rPr>
          <w:rFonts w:hint="eastAsia" w:ascii="宋体" w:hAnsi="宋体" w:eastAsia="宋体" w:cs="宋体"/>
          <w:highlight w:val="none"/>
        </w:rPr>
        <w:t>对存在注采关系的邻井进行压力影响分析。</w:t>
      </w:r>
      <w:bookmarkEnd w:id="124"/>
      <w:bookmarkEnd w:id="125"/>
      <w:bookmarkEnd w:id="126"/>
      <w:bookmarkEnd w:id="127"/>
      <w:bookmarkEnd w:id="128"/>
      <w:bookmarkEnd w:id="129"/>
    </w:p>
    <w:p w14:paraId="1B3CEF76">
      <w:pPr>
        <w:pStyle w:val="234"/>
        <w:spacing w:beforeLines="0" w:afterLines="0"/>
        <w:rPr>
          <w:rFonts w:hint="eastAsia" w:ascii="宋体" w:hAnsi="宋体" w:eastAsia="宋体" w:cs="宋体"/>
          <w:bCs w:val="0"/>
          <w:sz w:val="18"/>
          <w:szCs w:val="18"/>
          <w:highlight w:val="none"/>
          <w:lang w:eastAsia="zh-CN" w:bidi="ar"/>
        </w:rPr>
      </w:pPr>
      <w:r>
        <w:rPr>
          <w:rFonts w:hint="eastAsia" w:ascii="宋体" w:hAnsi="宋体" w:eastAsia="宋体" w:cs="宋体"/>
          <w:bCs w:val="0"/>
          <w:sz w:val="18"/>
          <w:szCs w:val="18"/>
          <w:highlight w:val="none"/>
          <w:lang w:val="en-US" w:eastAsia="zh-CN" w:bidi="ar"/>
        </w:rPr>
        <w:t>注1：</w:t>
      </w:r>
      <w:r>
        <w:rPr>
          <w:rFonts w:hint="eastAsia" w:ascii="宋体" w:hAnsi="宋体" w:eastAsia="宋体" w:cs="宋体"/>
          <w:bCs w:val="0"/>
          <w:sz w:val="18"/>
          <w:szCs w:val="18"/>
          <w:highlight w:val="none"/>
          <w:lang w:bidi="ar"/>
        </w:rPr>
        <w:t>异常压力提示包括本井或本构造区域内可能存在的异常高（低）压情况</w:t>
      </w:r>
      <w:bookmarkEnd w:id="130"/>
      <w:r>
        <w:rPr>
          <w:rFonts w:hint="eastAsia" w:hAnsi="宋体" w:cs="宋体"/>
          <w:bCs w:val="0"/>
          <w:sz w:val="18"/>
          <w:szCs w:val="18"/>
          <w:highlight w:val="none"/>
          <w:lang w:eastAsia="zh-CN" w:bidi="ar"/>
        </w:rPr>
        <w:t>。</w:t>
      </w:r>
    </w:p>
    <w:p w14:paraId="3545563B">
      <w:pPr>
        <w:pStyle w:val="234"/>
        <w:spacing w:beforeLines="0" w:afterLines="0"/>
        <w:rPr>
          <w:rFonts w:hint="eastAsia" w:ascii="宋体" w:hAnsi="宋体" w:eastAsia="宋体" w:cs="宋体"/>
          <w:sz w:val="18"/>
          <w:szCs w:val="18"/>
          <w:highlight w:val="none"/>
        </w:rPr>
      </w:pPr>
      <w:r>
        <w:rPr>
          <w:rFonts w:hint="eastAsia" w:ascii="宋体" w:hAnsi="宋体" w:eastAsia="宋体" w:cs="宋体"/>
          <w:bCs w:val="0"/>
          <w:sz w:val="18"/>
          <w:szCs w:val="18"/>
          <w:highlight w:val="none"/>
          <w:lang w:val="en-US" w:eastAsia="zh-CN" w:bidi="ar"/>
        </w:rPr>
        <w:t>注2：邻井资料包括</w:t>
      </w:r>
      <w:r>
        <w:rPr>
          <w:rFonts w:hint="eastAsia" w:ascii="宋体" w:hAnsi="宋体" w:eastAsia="宋体" w:cs="宋体"/>
          <w:bCs w:val="0"/>
          <w:sz w:val="18"/>
          <w:szCs w:val="18"/>
          <w:highlight w:val="none"/>
          <w:lang w:bidi="ar"/>
        </w:rPr>
        <w:t>邻井的</w:t>
      </w:r>
      <w:r>
        <w:rPr>
          <w:rFonts w:hint="eastAsia" w:ascii="宋体" w:hAnsi="宋体" w:eastAsia="宋体" w:cs="宋体"/>
          <w:bCs w:val="0"/>
          <w:sz w:val="18"/>
          <w:szCs w:val="18"/>
          <w:highlight w:val="none"/>
          <w:lang w:val="en-US" w:eastAsia="zh-CN" w:bidi="ar"/>
        </w:rPr>
        <w:t>注水、注气、注汽井口压力</w:t>
      </w:r>
      <w:r>
        <w:rPr>
          <w:rFonts w:hint="eastAsia" w:ascii="宋体" w:hAnsi="宋体" w:eastAsia="宋体" w:cs="宋体"/>
          <w:bCs w:val="0"/>
          <w:sz w:val="18"/>
          <w:szCs w:val="18"/>
          <w:highlight w:val="none"/>
          <w:lang w:eastAsia="zh-CN" w:bidi="ar"/>
        </w:rPr>
        <w:t>，</w:t>
      </w:r>
      <w:r>
        <w:rPr>
          <w:rFonts w:hint="eastAsia" w:ascii="宋体" w:hAnsi="宋体" w:eastAsia="宋体" w:cs="宋体"/>
          <w:bCs w:val="0"/>
          <w:sz w:val="18"/>
          <w:szCs w:val="18"/>
          <w:highlight w:val="none"/>
          <w:lang w:bidi="ar"/>
        </w:rPr>
        <w:t>邻井</w:t>
      </w:r>
      <w:r>
        <w:rPr>
          <w:rFonts w:hint="eastAsia" w:ascii="宋体" w:hAnsi="宋体" w:eastAsia="宋体" w:cs="宋体"/>
          <w:bCs w:val="0"/>
          <w:sz w:val="18"/>
          <w:szCs w:val="18"/>
          <w:highlight w:val="none"/>
          <w:lang w:val="en-US" w:eastAsia="zh-CN" w:bidi="ar"/>
        </w:rPr>
        <w:t>的作业复杂情况以及</w:t>
      </w:r>
      <w:r>
        <w:rPr>
          <w:rFonts w:hint="eastAsia" w:ascii="宋体" w:hAnsi="宋体" w:eastAsia="宋体" w:cs="宋体"/>
          <w:bCs w:val="0"/>
          <w:sz w:val="18"/>
          <w:szCs w:val="18"/>
          <w:highlight w:val="none"/>
          <w:lang w:bidi="ar"/>
        </w:rPr>
        <w:t>含硫化氢、二氧化碳等有毒有害气体含量</w:t>
      </w:r>
      <w:r>
        <w:rPr>
          <w:rFonts w:hint="eastAsia" w:ascii="宋体" w:hAnsi="宋体" w:eastAsia="宋体" w:cs="宋体"/>
          <w:bCs w:val="0"/>
          <w:sz w:val="18"/>
          <w:szCs w:val="18"/>
          <w:highlight w:val="none"/>
          <w:lang w:eastAsia="zh-CN" w:bidi="ar"/>
        </w:rPr>
        <w:t>。</w:t>
      </w:r>
    </w:p>
    <w:p w14:paraId="0AF52213">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131" w:name="_Toc17190"/>
      <w:bookmarkStart w:id="132" w:name="_Toc23537"/>
      <w:bookmarkStart w:id="133" w:name="_Toc17792"/>
      <w:bookmarkStart w:id="134" w:name="_Toc13792"/>
      <w:bookmarkStart w:id="135" w:name="_Toc27933"/>
      <w:bookmarkStart w:id="136" w:name="_Toc18201"/>
      <w:r>
        <w:rPr>
          <w:rFonts w:hint="eastAsia" w:ascii="宋体" w:hAnsi="宋体" w:eastAsia="宋体" w:cs="宋体"/>
        </w:rPr>
        <w:t>应根据地质资料进行风险评估并编制安全提示。</w:t>
      </w:r>
      <w:bookmarkEnd w:id="131"/>
      <w:bookmarkEnd w:id="132"/>
      <w:bookmarkEnd w:id="133"/>
      <w:bookmarkEnd w:id="134"/>
      <w:bookmarkEnd w:id="135"/>
      <w:bookmarkEnd w:id="136"/>
    </w:p>
    <w:p w14:paraId="6D6A2007">
      <w:pPr>
        <w:pStyle w:val="108"/>
        <w:spacing w:before="120" w:after="120"/>
        <w:rPr>
          <w:rFonts w:hint="eastAsia" w:hAnsi="黑体" w:cs="黑体"/>
          <w:bCs/>
          <w:color w:val="000000"/>
          <w:szCs w:val="21"/>
          <w:lang w:val="en-US" w:eastAsia="zh-CN"/>
        </w:rPr>
      </w:pPr>
      <w:bookmarkStart w:id="137" w:name="_Toc10779"/>
      <w:bookmarkStart w:id="138" w:name="_Toc16316"/>
      <w:bookmarkStart w:id="139" w:name="_Toc30962"/>
      <w:bookmarkStart w:id="140" w:name="_Toc12849"/>
      <w:r>
        <w:rPr>
          <w:rFonts w:hint="eastAsia" w:hAnsi="黑体" w:cs="黑体"/>
          <w:bCs/>
          <w:color w:val="000000"/>
          <w:szCs w:val="21"/>
          <w:lang w:val="en-US" w:eastAsia="zh-CN"/>
        </w:rPr>
        <w:t>作业设计</w:t>
      </w:r>
      <w:bookmarkEnd w:id="137"/>
      <w:bookmarkEnd w:id="138"/>
      <w:bookmarkEnd w:id="139"/>
      <w:bookmarkEnd w:id="140"/>
    </w:p>
    <w:p w14:paraId="1659E3EC">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141" w:name="_Toc32609"/>
      <w:bookmarkStart w:id="142" w:name="_Toc29811"/>
      <w:bookmarkStart w:id="143" w:name="_Toc25234"/>
      <w:bookmarkStart w:id="144" w:name="_Toc21243"/>
      <w:bookmarkStart w:id="145" w:name="_Toc13389"/>
      <w:bookmarkStart w:id="146" w:name="_Toc23650"/>
      <w:r>
        <w:rPr>
          <w:rFonts w:hint="eastAsia" w:ascii="宋体" w:hAnsi="宋体" w:eastAsia="宋体" w:cs="宋体"/>
          <w:lang w:val="en-US" w:eastAsia="zh-CN"/>
        </w:rPr>
        <w:t>应</w:t>
      </w:r>
      <w:r>
        <w:rPr>
          <w:rFonts w:hint="eastAsia" w:ascii="宋体" w:hAnsi="宋体" w:eastAsia="宋体" w:cs="宋体"/>
        </w:rPr>
        <w:t>根据地质设计的风险评估</w:t>
      </w:r>
      <w:r>
        <w:rPr>
          <w:rFonts w:hint="eastAsia" w:ascii="宋体" w:hAnsi="宋体" w:eastAsia="宋体" w:cs="宋体"/>
          <w:lang w:val="en-US" w:eastAsia="zh-CN"/>
        </w:rPr>
        <w:t>与</w:t>
      </w:r>
      <w:r>
        <w:rPr>
          <w:rFonts w:hint="eastAsia" w:ascii="宋体" w:hAnsi="宋体" w:eastAsia="宋体" w:cs="宋体"/>
        </w:rPr>
        <w:t>安全提示编制相应的施工步骤、技术要求</w:t>
      </w:r>
      <w:r>
        <w:rPr>
          <w:rFonts w:hint="eastAsia" w:ascii="宋体" w:hAnsi="宋体" w:eastAsia="宋体" w:cs="宋体"/>
          <w:lang w:val="en-US" w:eastAsia="zh-CN"/>
        </w:rPr>
        <w:t>及</w:t>
      </w:r>
      <w:r>
        <w:rPr>
          <w:rFonts w:hint="eastAsia" w:ascii="宋体" w:hAnsi="宋体" w:eastAsia="宋体" w:cs="宋体"/>
        </w:rPr>
        <w:t>安全管控</w:t>
      </w:r>
      <w:r>
        <w:rPr>
          <w:rFonts w:hint="eastAsia" w:ascii="宋体" w:hAnsi="宋体" w:eastAsia="宋体" w:cs="宋体"/>
          <w:lang w:val="en-US" w:eastAsia="zh-CN"/>
        </w:rPr>
        <w:t>措施</w:t>
      </w:r>
      <w:r>
        <w:rPr>
          <w:rFonts w:hint="eastAsia" w:ascii="宋体" w:hAnsi="宋体" w:eastAsia="宋体" w:cs="宋体"/>
        </w:rPr>
        <w:t>。</w:t>
      </w:r>
      <w:bookmarkEnd w:id="141"/>
      <w:bookmarkEnd w:id="142"/>
      <w:bookmarkEnd w:id="143"/>
      <w:bookmarkEnd w:id="144"/>
      <w:bookmarkEnd w:id="145"/>
      <w:bookmarkEnd w:id="146"/>
    </w:p>
    <w:p w14:paraId="3C3A1608">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highlight w:val="none"/>
        </w:rPr>
      </w:pPr>
      <w:bookmarkStart w:id="147" w:name="_Toc23370"/>
      <w:bookmarkStart w:id="148" w:name="_Toc10993"/>
      <w:bookmarkStart w:id="149" w:name="_Toc8721"/>
      <w:bookmarkStart w:id="150" w:name="_Toc11540"/>
      <w:bookmarkStart w:id="151" w:name="_Toc11833"/>
      <w:bookmarkStart w:id="152" w:name="_Toc18073"/>
      <w:r>
        <w:rPr>
          <w:rFonts w:hint="eastAsia" w:ascii="宋体" w:hAnsi="宋体" w:eastAsia="宋体" w:cs="宋体"/>
        </w:rPr>
        <w:t>应根据井身结构、管柱质量、流体性质、地层压力等，确定作业设备载荷、井口装置、管柱性能和组合。</w:t>
      </w:r>
      <w:bookmarkEnd w:id="147"/>
      <w:bookmarkEnd w:id="148"/>
      <w:bookmarkEnd w:id="149"/>
      <w:bookmarkEnd w:id="150"/>
      <w:bookmarkEnd w:id="151"/>
      <w:bookmarkEnd w:id="152"/>
    </w:p>
    <w:p w14:paraId="4A59AFD7">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highlight w:val="none"/>
          <w:lang w:val="en-US" w:eastAsia="zh-CN"/>
        </w:rPr>
      </w:pPr>
      <w:bookmarkStart w:id="153" w:name="_Toc1821"/>
      <w:bookmarkStart w:id="154" w:name="_Toc31391"/>
      <w:bookmarkStart w:id="155" w:name="_Toc24846"/>
      <w:bookmarkStart w:id="156" w:name="_Toc13949"/>
      <w:bookmarkStart w:id="157" w:name="_Toc14953"/>
      <w:bookmarkStart w:id="158" w:name="_Toc30764"/>
      <w:r>
        <w:rPr>
          <w:rFonts w:hint="eastAsia" w:ascii="宋体" w:hAnsi="宋体" w:eastAsia="宋体" w:cs="宋体"/>
          <w:highlight w:val="none"/>
        </w:rPr>
        <w:t>含硫化氢、二氧化碳的油（气）井应进行</w:t>
      </w:r>
      <w:r>
        <w:rPr>
          <w:rFonts w:hint="eastAsia" w:ascii="宋体" w:hAnsi="宋体" w:eastAsia="宋体" w:cs="宋体"/>
          <w:strike w:val="0"/>
          <w:dstrike w:val="0"/>
          <w:highlight w:val="none"/>
          <w:lang w:eastAsia="zh-CN"/>
        </w:rPr>
        <w:t>防腐分析</w:t>
      </w:r>
      <w:r>
        <w:rPr>
          <w:rFonts w:hint="eastAsia" w:ascii="宋体" w:hAnsi="宋体" w:eastAsia="宋体" w:cs="宋体"/>
          <w:highlight w:val="none"/>
        </w:rPr>
        <w:t>，入井管柱应具有抗腐蚀的能力；高温高压油（气）井，下井工具性能应满足耐高温、高压的要求。</w:t>
      </w:r>
      <w:bookmarkEnd w:id="153"/>
      <w:bookmarkEnd w:id="154"/>
      <w:bookmarkEnd w:id="155"/>
      <w:bookmarkEnd w:id="156"/>
      <w:bookmarkEnd w:id="157"/>
      <w:bookmarkEnd w:id="158"/>
    </w:p>
    <w:p w14:paraId="130642E8">
      <w:pPr>
        <w:pStyle w:val="165"/>
        <w:numPr>
          <w:ilvl w:val="1"/>
          <w:numId w:val="0"/>
        </w:numPr>
        <w:ind w:leftChars="0"/>
        <w:rPr>
          <w:rFonts w:hint="eastAsia" w:ascii="宋体" w:hAnsi="宋体" w:eastAsia="宋体" w:cs="宋体"/>
          <w:highlight w:val="none"/>
        </w:rPr>
      </w:pPr>
      <w:bookmarkStart w:id="159" w:name="_Toc21849"/>
      <w:bookmarkStart w:id="160" w:name="_Toc19516"/>
      <w:bookmarkStart w:id="161" w:name="_Toc29621"/>
      <w:r>
        <w:rPr>
          <w:rFonts w:hint="eastAsia" w:ascii="宋体" w:hAnsi="宋体" w:eastAsia="宋体" w:cs="宋体"/>
          <w:highlight w:val="none"/>
        </w:rPr>
        <w:t>压裂、酸化作业应制定专项施工方案，明确高压防护、酸性物质防护和消防措施。压裂管汇元件应经检测合格。</w:t>
      </w:r>
      <w:bookmarkEnd w:id="159"/>
      <w:bookmarkEnd w:id="160"/>
      <w:bookmarkEnd w:id="161"/>
    </w:p>
    <w:p w14:paraId="4FE12A4D">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162" w:name="_Toc12153"/>
      <w:bookmarkStart w:id="163" w:name="_Toc26587"/>
      <w:bookmarkStart w:id="164" w:name="_Toc24216"/>
      <w:bookmarkStart w:id="165" w:name="_Toc26072"/>
      <w:bookmarkStart w:id="166" w:name="_Toc18100"/>
      <w:bookmarkStart w:id="167" w:name="_Toc29631"/>
      <w:bookmarkStart w:id="168" w:name="_Toc9942"/>
      <w:bookmarkStart w:id="169" w:name="_Toc10198"/>
      <w:bookmarkStart w:id="170" w:name="_Toc3153"/>
      <w:bookmarkStart w:id="171" w:name="_Toc7956"/>
      <w:r>
        <w:rPr>
          <w:rFonts w:hint="eastAsia" w:ascii="宋体" w:hAnsi="宋体" w:eastAsia="宋体" w:cs="宋体"/>
          <w:highlight w:val="none"/>
        </w:rPr>
        <w:t>应根据地质</w:t>
      </w:r>
      <w:r>
        <w:rPr>
          <w:rFonts w:hint="eastAsia" w:ascii="宋体" w:hAnsi="宋体" w:eastAsia="宋体" w:cs="宋体"/>
          <w:highlight w:val="none"/>
          <w:lang w:val="en-US" w:eastAsia="zh-CN"/>
        </w:rPr>
        <w:t>设计的</w:t>
      </w:r>
      <w:r>
        <w:rPr>
          <w:rFonts w:hint="eastAsia" w:ascii="宋体" w:hAnsi="宋体" w:eastAsia="宋体" w:cs="宋体"/>
          <w:highlight w:val="none"/>
        </w:rPr>
        <w:t>风险评估情况明确单井井控风险等级，</w:t>
      </w:r>
      <w:r>
        <w:rPr>
          <w:rFonts w:hint="eastAsia" w:ascii="宋体" w:hAnsi="宋体" w:eastAsia="宋体" w:cs="宋体"/>
          <w:highlight w:val="none"/>
          <w:lang w:val="en-US" w:eastAsia="zh-CN"/>
        </w:rPr>
        <w:t>编写相应的</w:t>
      </w:r>
      <w:r>
        <w:rPr>
          <w:rFonts w:hint="eastAsia" w:ascii="宋体" w:hAnsi="宋体" w:eastAsia="宋体" w:cs="宋体"/>
          <w:highlight w:val="none"/>
        </w:rPr>
        <w:t>井控</w:t>
      </w:r>
      <w:r>
        <w:rPr>
          <w:rFonts w:hint="eastAsia" w:ascii="宋体" w:hAnsi="宋体" w:eastAsia="宋体" w:cs="宋体"/>
          <w:highlight w:val="none"/>
          <w:lang w:val="en-US" w:eastAsia="zh-CN"/>
        </w:rPr>
        <w:t>设计和控制</w:t>
      </w:r>
      <w:r>
        <w:rPr>
          <w:rFonts w:hint="eastAsia" w:ascii="宋体" w:hAnsi="宋体" w:eastAsia="宋体" w:cs="宋体"/>
          <w:highlight w:val="none"/>
        </w:rPr>
        <w:t>措施</w:t>
      </w:r>
      <w:bookmarkEnd w:id="162"/>
      <w:bookmarkEnd w:id="163"/>
      <w:bookmarkEnd w:id="164"/>
      <w:bookmarkEnd w:id="165"/>
      <w:r>
        <w:rPr>
          <w:rFonts w:hint="eastAsia" w:ascii="宋体" w:hAnsi="宋体" w:eastAsia="宋体" w:cs="宋体"/>
          <w:highlight w:val="none"/>
          <w:lang w:eastAsia="zh-CN"/>
        </w:rPr>
        <w:t>；</w:t>
      </w:r>
      <w:r>
        <w:rPr>
          <w:rFonts w:hint="eastAsia" w:ascii="宋体" w:hAnsi="宋体" w:eastAsia="宋体" w:cs="宋体"/>
          <w:lang w:val="en-US" w:eastAsia="zh-CN"/>
        </w:rPr>
        <w:t>井控设计</w:t>
      </w:r>
      <w:r>
        <w:rPr>
          <w:rFonts w:hint="eastAsia" w:ascii="宋体" w:hAnsi="宋体" w:eastAsia="宋体" w:cs="宋体"/>
        </w:rPr>
        <w:t>应包括</w:t>
      </w:r>
      <w:r>
        <w:rPr>
          <w:rFonts w:hint="eastAsia" w:ascii="宋体" w:hAnsi="宋体" w:eastAsia="宋体" w:cs="宋体"/>
          <w:lang w:val="en-US" w:eastAsia="zh-CN"/>
        </w:rPr>
        <w:t>但不限于</w:t>
      </w:r>
      <w:r>
        <w:rPr>
          <w:rFonts w:hint="eastAsia" w:ascii="宋体" w:hAnsi="宋体" w:eastAsia="宋体" w:cs="宋体"/>
        </w:rPr>
        <w:t>以下内容：</w:t>
      </w:r>
      <w:bookmarkEnd w:id="166"/>
      <w:bookmarkEnd w:id="167"/>
      <w:bookmarkEnd w:id="168"/>
      <w:bookmarkEnd w:id="169"/>
      <w:bookmarkEnd w:id="170"/>
      <w:bookmarkEnd w:id="171"/>
    </w:p>
    <w:p w14:paraId="6E655C7F">
      <w:pPr>
        <w:pStyle w:val="178"/>
        <w:keepNext w:val="0"/>
        <w:keepLines w:val="0"/>
        <w:pageBreakBefore w:val="0"/>
        <w:numPr>
          <w:ilvl w:val="0"/>
          <w:numId w:val="32"/>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lang w:val="en-US" w:eastAsia="zh-CN"/>
        </w:rPr>
        <w:t>计算</w:t>
      </w:r>
      <w:r>
        <w:rPr>
          <w:rFonts w:hint="eastAsia" w:ascii="宋体" w:hAnsi="宋体" w:eastAsia="宋体" w:cs="宋体"/>
        </w:rPr>
        <w:t>预测最高井口关井压力和最大允许关井套压；</w:t>
      </w:r>
    </w:p>
    <w:p w14:paraId="75737A6B">
      <w:pPr>
        <w:pStyle w:val="178"/>
        <w:keepNext w:val="0"/>
        <w:keepLines w:val="0"/>
        <w:pageBreakBefore w:val="0"/>
        <w:numPr>
          <w:ilvl w:val="0"/>
          <w:numId w:val="32"/>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lang w:val="en-US" w:eastAsia="zh-CN"/>
        </w:rPr>
        <w:t>计算</w:t>
      </w:r>
      <w:r>
        <w:rPr>
          <w:rFonts w:hint="eastAsia" w:ascii="宋体" w:hAnsi="宋体" w:eastAsia="宋体" w:cs="宋体"/>
        </w:rPr>
        <w:t>压井液</w:t>
      </w:r>
      <w:r>
        <w:rPr>
          <w:rFonts w:hint="eastAsia" w:ascii="宋体" w:hAnsi="宋体" w:eastAsia="宋体" w:cs="宋体"/>
          <w:lang w:val="en-US" w:eastAsia="zh-CN"/>
        </w:rPr>
        <w:t>密度及</w:t>
      </w:r>
      <w:r>
        <w:rPr>
          <w:rFonts w:hint="eastAsia" w:ascii="宋体" w:hAnsi="宋体" w:eastAsia="宋体" w:cs="宋体"/>
        </w:rPr>
        <w:t>加重材料</w:t>
      </w:r>
      <w:r>
        <w:rPr>
          <w:rFonts w:hint="eastAsia" w:ascii="宋体" w:hAnsi="宋体" w:eastAsia="宋体" w:cs="宋体"/>
          <w:lang w:val="en-US" w:eastAsia="zh-CN"/>
        </w:rPr>
        <w:t>储备量</w:t>
      </w:r>
      <w:r>
        <w:rPr>
          <w:rFonts w:hint="eastAsia" w:ascii="宋体" w:hAnsi="宋体" w:eastAsia="宋体" w:cs="宋体"/>
        </w:rPr>
        <w:t>；</w:t>
      </w:r>
    </w:p>
    <w:p w14:paraId="498711BB">
      <w:pPr>
        <w:pStyle w:val="178"/>
        <w:keepNext w:val="0"/>
        <w:keepLines w:val="0"/>
        <w:pageBreakBefore w:val="0"/>
        <w:numPr>
          <w:ilvl w:val="0"/>
          <w:numId w:val="32"/>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井控</w:t>
      </w:r>
      <w:r>
        <w:rPr>
          <w:rFonts w:hint="eastAsia" w:ascii="宋体" w:hAnsi="宋体" w:eastAsia="宋体" w:cs="宋体"/>
          <w:lang w:val="en-US" w:eastAsia="zh-CN"/>
        </w:rPr>
        <w:t>装置的配置、</w:t>
      </w:r>
      <w:r>
        <w:rPr>
          <w:rFonts w:hint="eastAsia" w:ascii="宋体" w:hAnsi="宋体" w:eastAsia="宋体" w:cs="宋体"/>
        </w:rPr>
        <w:t>安装</w:t>
      </w:r>
      <w:r>
        <w:rPr>
          <w:rFonts w:hint="eastAsia" w:ascii="宋体" w:hAnsi="宋体" w:eastAsia="宋体" w:cs="宋体"/>
          <w:lang w:val="en-US" w:eastAsia="zh-CN"/>
        </w:rPr>
        <w:t>与试验</w:t>
      </w:r>
      <w:r>
        <w:rPr>
          <w:rFonts w:hint="eastAsia" w:ascii="宋体" w:hAnsi="宋体" w:eastAsia="宋体" w:cs="宋体"/>
        </w:rPr>
        <w:t>；</w:t>
      </w:r>
    </w:p>
    <w:p w14:paraId="04E33750">
      <w:pPr>
        <w:pStyle w:val="178"/>
        <w:keepNext w:val="0"/>
        <w:keepLines w:val="0"/>
        <w:pageBreakBefore w:val="0"/>
        <w:numPr>
          <w:ilvl w:val="0"/>
          <w:numId w:val="32"/>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内防喷工具规格、型号、数量；</w:t>
      </w:r>
    </w:p>
    <w:p w14:paraId="4FE137B7">
      <w:pPr>
        <w:pStyle w:val="178"/>
        <w:keepNext w:val="0"/>
        <w:keepLines w:val="0"/>
        <w:pageBreakBefore w:val="0"/>
        <w:numPr>
          <w:ilvl w:val="0"/>
          <w:numId w:val="32"/>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施工作业过程中溢流关井程序；</w:t>
      </w:r>
    </w:p>
    <w:p w14:paraId="61EDA941">
      <w:pPr>
        <w:pStyle w:val="178"/>
        <w:keepNext w:val="0"/>
        <w:keepLines w:val="0"/>
        <w:pageBreakBefore w:val="0"/>
        <w:numPr>
          <w:ilvl w:val="0"/>
          <w:numId w:val="32"/>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应急处置程序。</w:t>
      </w:r>
    </w:p>
    <w:p w14:paraId="75099A3D">
      <w:pPr>
        <w:pStyle w:val="107"/>
        <w:spacing w:before="240" w:after="240"/>
      </w:pPr>
      <w:bookmarkStart w:id="172" w:name="_Toc27232"/>
      <w:bookmarkStart w:id="173" w:name="_Toc18335"/>
      <w:bookmarkStart w:id="174" w:name="_Toc20607"/>
      <w:bookmarkStart w:id="175" w:name="_Toc24703"/>
      <w:r>
        <w:rPr>
          <w:rFonts w:hint="eastAsia" w:hAnsi="黑体"/>
          <w:bCs/>
          <w:color w:val="000000"/>
          <w:szCs w:val="21"/>
          <w:lang w:eastAsia="zh-CN"/>
        </w:rPr>
        <w:t>作业设施</w:t>
      </w:r>
      <w:bookmarkEnd w:id="172"/>
      <w:bookmarkEnd w:id="173"/>
      <w:bookmarkEnd w:id="174"/>
      <w:bookmarkEnd w:id="175"/>
      <w:r>
        <w:rPr>
          <w:rFonts w:hint="eastAsia" w:hAnsi="黑体"/>
          <w:bCs/>
          <w:color w:val="000000"/>
          <w:szCs w:val="21"/>
          <w:lang w:val="en-US" w:eastAsia="zh-CN"/>
        </w:rPr>
        <w:t>设备</w:t>
      </w:r>
    </w:p>
    <w:p w14:paraId="52B67C2E">
      <w:pPr>
        <w:pStyle w:val="165"/>
        <w:numPr>
          <w:ilvl w:val="2"/>
          <w:numId w:val="2"/>
        </w:numPr>
        <w:ind w:left="0"/>
        <w:rPr>
          <w:rFonts w:hint="eastAsia" w:ascii="宋体" w:hAnsi="宋体" w:eastAsia="宋体" w:cs="宋体"/>
          <w:highlight w:val="none"/>
        </w:rPr>
      </w:pPr>
      <w:r>
        <w:rPr>
          <w:rFonts w:hint="eastAsia" w:ascii="宋体" w:hAnsi="宋体" w:eastAsia="宋体" w:cs="宋体"/>
          <w:highlight w:val="none"/>
          <w:lang w:val="en-US" w:eastAsia="zh-CN"/>
        </w:rPr>
        <w:t>井下作业设施</w:t>
      </w:r>
      <w:r>
        <w:rPr>
          <w:rFonts w:hint="eastAsia" w:ascii="宋体" w:hAnsi="宋体" w:eastAsia="宋体" w:cs="宋体"/>
          <w:highlight w:val="none"/>
        </w:rPr>
        <w:t>应</w:t>
      </w:r>
      <w:r>
        <w:rPr>
          <w:rFonts w:hint="eastAsia" w:ascii="宋体" w:hAnsi="宋体" w:eastAsia="宋体" w:cs="宋体"/>
          <w:highlight w:val="none"/>
          <w:lang w:val="en-US" w:eastAsia="zh-CN"/>
        </w:rPr>
        <w:t>根据</w:t>
      </w:r>
      <w:r>
        <w:rPr>
          <w:rFonts w:hint="eastAsia" w:ascii="宋体" w:hAnsi="宋体" w:eastAsia="宋体" w:cs="宋体"/>
        </w:rPr>
        <w:t>作业设计</w:t>
      </w:r>
      <w:r>
        <w:rPr>
          <w:rFonts w:hint="eastAsia" w:ascii="宋体" w:hAnsi="宋体" w:eastAsia="宋体" w:cs="宋体"/>
          <w:highlight w:val="none"/>
        </w:rPr>
        <w:t>所需的井控装置、人员数量、直升机甲板、可变载荷、大钩吨位</w:t>
      </w:r>
      <w:r>
        <w:rPr>
          <w:rFonts w:hint="eastAsia" w:ascii="宋体" w:hAnsi="宋体" w:eastAsia="宋体" w:cs="宋体"/>
          <w:highlight w:val="none"/>
          <w:lang w:val="en-US" w:eastAsia="zh-CN"/>
        </w:rPr>
        <w:t>等</w:t>
      </w:r>
      <w:r>
        <w:rPr>
          <w:rFonts w:hint="eastAsia" w:ascii="宋体" w:hAnsi="宋体" w:eastAsia="宋体" w:cs="宋体"/>
          <w:highlight w:val="none"/>
        </w:rPr>
        <w:t>作业能力</w:t>
      </w:r>
      <w:r>
        <w:rPr>
          <w:rFonts w:hint="eastAsia" w:ascii="宋体" w:hAnsi="宋体" w:eastAsia="宋体" w:cs="宋体"/>
          <w:highlight w:val="none"/>
          <w:lang w:val="en-US" w:eastAsia="zh-CN"/>
        </w:rPr>
        <w:t>以及</w:t>
      </w:r>
      <w:r>
        <w:rPr>
          <w:rFonts w:hint="eastAsia" w:ascii="宋体" w:hAnsi="宋体" w:eastAsia="宋体" w:cs="宋体"/>
          <w:highlight w:val="none"/>
        </w:rPr>
        <w:t>作业海域</w:t>
      </w:r>
      <w:r>
        <w:rPr>
          <w:rFonts w:hint="eastAsia" w:ascii="宋体" w:hAnsi="宋体" w:eastAsia="宋体" w:cs="宋体"/>
          <w:highlight w:val="none"/>
          <w:lang w:val="en-US" w:eastAsia="zh-CN"/>
        </w:rPr>
        <w:t>水深、</w:t>
      </w:r>
      <w:r>
        <w:rPr>
          <w:rFonts w:hint="eastAsia" w:ascii="宋体" w:hAnsi="宋体" w:eastAsia="宋体" w:cs="宋体"/>
          <w:highlight w:val="none"/>
        </w:rPr>
        <w:t>气象海况、海底地貌、浅层地质</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含浅层气、浅层水流</w:t>
      </w:r>
      <w:r>
        <w:rPr>
          <w:rFonts w:hint="eastAsia" w:ascii="宋体" w:hAnsi="宋体" w:eastAsia="宋体" w:cs="宋体"/>
          <w:highlight w:val="none"/>
          <w:lang w:eastAsia="zh-CN"/>
        </w:rPr>
        <w:t>）</w:t>
      </w:r>
      <w:r>
        <w:rPr>
          <w:rFonts w:hint="eastAsia" w:ascii="宋体" w:hAnsi="宋体" w:eastAsia="宋体" w:cs="宋体"/>
          <w:highlight w:val="none"/>
          <w:lang w:val="en-US" w:eastAsia="zh-CN"/>
        </w:rPr>
        <w:t>条件选取</w:t>
      </w:r>
      <w:r>
        <w:rPr>
          <w:rFonts w:hint="eastAsia" w:ascii="宋体" w:hAnsi="宋体" w:eastAsia="宋体" w:cs="宋体"/>
          <w:highlight w:val="none"/>
        </w:rPr>
        <w:t>。</w:t>
      </w:r>
    </w:p>
    <w:p w14:paraId="33043D99">
      <w:pPr>
        <w:pStyle w:val="234"/>
        <w:spacing w:beforeLines="0" w:afterLines="0"/>
        <w:rPr>
          <w:rFonts w:hint="eastAsia" w:ascii="宋体" w:hAnsi="宋体" w:eastAsia="宋体" w:cs="宋体"/>
          <w:bCs w:val="0"/>
          <w:sz w:val="18"/>
          <w:szCs w:val="18"/>
          <w:highlight w:val="none"/>
          <w:lang w:val="en-US" w:eastAsia="zh-CN" w:bidi="ar"/>
        </w:rPr>
      </w:pPr>
      <w:r>
        <w:rPr>
          <w:rFonts w:hint="eastAsia" w:ascii="宋体" w:hAnsi="宋体" w:eastAsia="宋体" w:cs="宋体"/>
          <w:bCs w:val="0"/>
          <w:sz w:val="18"/>
          <w:szCs w:val="18"/>
          <w:highlight w:val="none"/>
          <w:lang w:val="en-US" w:eastAsia="zh-CN" w:bidi="ar"/>
        </w:rPr>
        <w:t>注：</w:t>
      </w:r>
      <w:r>
        <w:rPr>
          <w:rFonts w:hint="eastAsia" w:hAnsi="宋体" w:cs="宋体"/>
          <w:bCs w:val="0"/>
          <w:sz w:val="18"/>
          <w:szCs w:val="18"/>
          <w:highlight w:val="none"/>
          <w:lang w:val="en-US" w:eastAsia="zh-CN" w:bidi="ar"/>
        </w:rPr>
        <w:t>井下作业设施</w:t>
      </w:r>
      <w:r>
        <w:rPr>
          <w:rFonts w:hint="eastAsia" w:ascii="宋体" w:hAnsi="宋体" w:eastAsia="宋体" w:cs="宋体"/>
          <w:bCs w:val="0"/>
          <w:sz w:val="18"/>
          <w:szCs w:val="18"/>
          <w:highlight w:val="none"/>
          <w:lang w:val="en-US" w:eastAsia="zh-CN" w:bidi="ar"/>
        </w:rPr>
        <w:t>包括自升式钻（修）井平台、半潜式钻（修）井平台、模块钻机、海洋修井机及滩海修井机。</w:t>
      </w:r>
    </w:p>
    <w:p w14:paraId="0C496C21">
      <w:pPr>
        <w:pStyle w:val="165"/>
        <w:numPr>
          <w:ilvl w:val="2"/>
          <w:numId w:val="2"/>
        </w:numPr>
        <w:ind w:left="0"/>
        <w:rPr>
          <w:rFonts w:hint="eastAsia" w:ascii="宋体" w:hAnsi="宋体" w:eastAsia="宋体" w:cs="宋体"/>
          <w:color w:val="auto"/>
          <w:highlight w:val="none"/>
        </w:rPr>
      </w:pPr>
      <w:r>
        <w:rPr>
          <w:rFonts w:hint="eastAsia" w:ascii="宋体" w:hAnsi="宋体" w:eastAsia="宋体" w:cs="宋体"/>
          <w:color w:val="auto"/>
          <w:kern w:val="0"/>
          <w:sz w:val="21"/>
          <w:szCs w:val="20"/>
          <w:lang w:val="en-US" w:eastAsia="zh-CN" w:bidi="ar-SA"/>
        </w:rPr>
        <w:t>钻（修）井平台、</w:t>
      </w:r>
      <w:r>
        <w:rPr>
          <w:rFonts w:hint="eastAsia" w:hAnsi="宋体" w:cs="宋体"/>
          <w:bCs/>
          <w:color w:val="auto"/>
          <w:szCs w:val="32"/>
          <w:highlight w:val="none"/>
          <w:lang w:val="en-US" w:eastAsia="zh-CN"/>
        </w:rPr>
        <w:t>模块钻机、滩海钻机的设备配置和功能</w:t>
      </w:r>
      <w:r>
        <w:rPr>
          <w:rFonts w:hint="eastAsia" w:ascii="宋体" w:hAnsi="宋体" w:eastAsia="宋体" w:cs="宋体"/>
          <w:color w:val="auto"/>
          <w:kern w:val="0"/>
          <w:sz w:val="21"/>
          <w:szCs w:val="20"/>
          <w:highlight w:val="none"/>
          <w:lang w:val="en-US" w:eastAsia="zh-CN" w:bidi="ar-SA"/>
        </w:rPr>
        <w:t>应符合GB 40554.2的要求；滩海修井机</w:t>
      </w:r>
      <w:r>
        <w:rPr>
          <w:rFonts w:hint="eastAsia" w:hAnsi="宋体" w:cs="宋体"/>
          <w:bCs/>
          <w:color w:val="auto"/>
          <w:szCs w:val="32"/>
          <w:highlight w:val="none"/>
          <w:lang w:val="en-US" w:eastAsia="zh-CN"/>
        </w:rPr>
        <w:t>的设备配置和功能</w:t>
      </w:r>
      <w:r>
        <w:rPr>
          <w:rFonts w:hint="eastAsia" w:ascii="宋体" w:hAnsi="宋体" w:eastAsia="宋体" w:cs="宋体"/>
          <w:color w:val="auto"/>
          <w:highlight w:val="none"/>
          <w:lang w:val="en-US" w:eastAsia="zh-CN"/>
        </w:rPr>
        <w:t>应符合GB 40554.4的要求</w:t>
      </w:r>
      <w:r>
        <w:rPr>
          <w:rFonts w:hint="eastAsia" w:ascii="宋体" w:hAnsi="宋体" w:eastAsia="宋体" w:cs="宋体"/>
          <w:color w:val="auto"/>
          <w:highlight w:val="none"/>
        </w:rPr>
        <w:t>。</w:t>
      </w:r>
    </w:p>
    <w:p w14:paraId="6132C70A">
      <w:pPr>
        <w:pStyle w:val="165"/>
        <w:numPr>
          <w:ilvl w:val="2"/>
          <w:numId w:val="2"/>
        </w:numPr>
        <w:ind w:left="0"/>
      </w:pPr>
      <w:r>
        <w:rPr>
          <w:rFonts w:hint="eastAsia" w:ascii="宋体" w:hAnsi="宋体" w:eastAsia="宋体" w:cs="宋体"/>
        </w:rPr>
        <w:t>移动式钻（修）井平台拖航前应根据地质调查资料或邻井资料进行风险分析并制定应急预案。自升式钻（修）井平台就位导管架平台和老井场重复就位插桩，应收集平台场址的调查资料、导管架安装资料或前期井场调查资料，研究分析是否需要在插桩前重新开展井场调查。</w:t>
      </w:r>
    </w:p>
    <w:p w14:paraId="32AF1DBA">
      <w:pPr>
        <w:pStyle w:val="165"/>
        <w:numPr>
          <w:ilvl w:val="2"/>
          <w:numId w:val="2"/>
        </w:numPr>
        <w:ind w:left="0"/>
        <w:rPr>
          <w:highlight w:val="none"/>
        </w:rPr>
      </w:pPr>
      <w:r>
        <w:rPr>
          <w:rFonts w:hint="eastAsia" w:hAnsi="宋体" w:cs="宋体"/>
          <w:highlight w:val="none"/>
          <w:lang w:val="en-US" w:eastAsia="zh-CN"/>
        </w:rPr>
        <w:t>作业设施设备的其他要求</w:t>
      </w:r>
      <w:r>
        <w:rPr>
          <w:rFonts w:hint="eastAsia" w:hAnsi="宋体"/>
          <w:highlight w:val="none"/>
          <w:lang w:val="en-US" w:eastAsia="zh-CN"/>
        </w:rPr>
        <w:t>应参照AQ ****-2026执行。</w:t>
      </w:r>
    </w:p>
    <w:p w14:paraId="511BEC55">
      <w:pPr>
        <w:pStyle w:val="107"/>
        <w:spacing w:before="240" w:after="240"/>
        <w:rPr>
          <w:rFonts w:hint="eastAsia" w:hAnsi="黑体"/>
          <w:bCs/>
          <w:color w:val="000000"/>
          <w:szCs w:val="21"/>
          <w:lang w:val="en-US" w:eastAsia="zh-CN"/>
        </w:rPr>
      </w:pPr>
      <w:bookmarkStart w:id="176" w:name="_Toc30245"/>
      <w:bookmarkStart w:id="177" w:name="_Toc2324"/>
      <w:bookmarkStart w:id="178" w:name="_Toc9534"/>
      <w:bookmarkStart w:id="179" w:name="_Toc28686"/>
      <w:r>
        <w:rPr>
          <w:rFonts w:hint="eastAsia" w:hAnsi="黑体"/>
          <w:bCs/>
          <w:color w:val="000000"/>
          <w:szCs w:val="21"/>
          <w:lang w:val="en-US" w:eastAsia="zh-CN"/>
        </w:rPr>
        <w:t>井控</w:t>
      </w:r>
      <w:bookmarkEnd w:id="176"/>
      <w:bookmarkEnd w:id="177"/>
      <w:bookmarkEnd w:id="178"/>
      <w:bookmarkEnd w:id="179"/>
    </w:p>
    <w:p w14:paraId="047E1492">
      <w:pPr>
        <w:pStyle w:val="108"/>
        <w:spacing w:before="120" w:after="120"/>
        <w:rPr>
          <w:rFonts w:hint="eastAsia" w:hAnsi="黑体" w:cs="黑体"/>
          <w:bCs/>
          <w:color w:val="000000"/>
          <w:szCs w:val="21"/>
          <w:lang w:val="en-US" w:eastAsia="zh-CN"/>
        </w:rPr>
      </w:pPr>
      <w:bookmarkStart w:id="180" w:name="_Toc1302"/>
      <w:bookmarkStart w:id="181" w:name="_Toc11829"/>
      <w:bookmarkStart w:id="182" w:name="_Toc10480"/>
      <w:r>
        <w:rPr>
          <w:rFonts w:hint="eastAsia" w:hAnsi="黑体" w:cs="黑体"/>
          <w:bCs/>
          <w:color w:val="000000"/>
          <w:szCs w:val="21"/>
          <w:lang w:val="en-US" w:eastAsia="zh-CN"/>
        </w:rPr>
        <w:t>井控工艺要求</w:t>
      </w:r>
      <w:bookmarkEnd w:id="180"/>
      <w:bookmarkEnd w:id="181"/>
      <w:bookmarkEnd w:id="182"/>
    </w:p>
    <w:p w14:paraId="325192FD">
      <w:pPr>
        <w:pStyle w:val="69"/>
        <w:numPr>
          <w:ilvl w:val="3"/>
          <w:numId w:val="2"/>
        </w:numPr>
        <w:spacing w:before="0" w:beforeLines="0" w:after="0" w:afterLines="0"/>
        <w:rPr>
          <w:rFonts w:hint="eastAsia" w:ascii="宋体" w:hAnsi="宋体" w:eastAsia="宋体" w:cs="宋体"/>
        </w:rPr>
      </w:pPr>
      <w:bookmarkStart w:id="183" w:name="_Toc14209"/>
      <w:bookmarkStart w:id="184" w:name="_Toc22035"/>
      <w:bookmarkStart w:id="185" w:name="_Toc15822"/>
      <w:bookmarkStart w:id="186" w:name="_Toc17285"/>
      <w:bookmarkStart w:id="187" w:name="_Toc29315"/>
      <w:bookmarkStart w:id="188" w:name="_Toc5447"/>
      <w:r>
        <w:rPr>
          <w:rFonts w:hint="eastAsia" w:ascii="宋体" w:hAnsi="宋体" w:eastAsia="宋体" w:cs="宋体"/>
        </w:rPr>
        <w:t>打开（射开）作业层位前，作业者和承包者应确认井控和防硫化氢措施的落实情况。</w:t>
      </w:r>
      <w:bookmarkEnd w:id="183"/>
      <w:bookmarkEnd w:id="184"/>
      <w:bookmarkEnd w:id="185"/>
      <w:bookmarkEnd w:id="186"/>
      <w:bookmarkEnd w:id="187"/>
      <w:bookmarkEnd w:id="188"/>
    </w:p>
    <w:p w14:paraId="66AE5652">
      <w:pPr>
        <w:pStyle w:val="69"/>
        <w:numPr>
          <w:ilvl w:val="3"/>
          <w:numId w:val="2"/>
        </w:numPr>
        <w:spacing w:before="0" w:beforeLines="0" w:after="0" w:afterLines="0"/>
        <w:rPr>
          <w:rFonts w:hint="eastAsia" w:ascii="宋体" w:hAnsi="宋体" w:eastAsia="宋体" w:cs="宋体"/>
        </w:rPr>
      </w:pPr>
      <w:bookmarkStart w:id="189" w:name="_Toc12320"/>
      <w:bookmarkStart w:id="190" w:name="_Toc26516"/>
      <w:bookmarkStart w:id="191" w:name="_Toc13712"/>
      <w:bookmarkStart w:id="192" w:name="_Toc29161"/>
      <w:bookmarkStart w:id="193" w:name="_Toc27437"/>
      <w:bookmarkStart w:id="194" w:name="_Toc5438"/>
      <w:r>
        <w:rPr>
          <w:rFonts w:hint="eastAsia" w:ascii="宋体" w:hAnsi="宋体" w:eastAsia="宋体" w:cs="宋体"/>
        </w:rPr>
        <w:t>高温高压井、高含硫化氢天然气井打开（射开）作业层位应由作业者批准。</w:t>
      </w:r>
      <w:bookmarkEnd w:id="189"/>
      <w:bookmarkEnd w:id="190"/>
      <w:bookmarkEnd w:id="191"/>
      <w:bookmarkEnd w:id="192"/>
      <w:bookmarkEnd w:id="193"/>
      <w:bookmarkEnd w:id="194"/>
    </w:p>
    <w:p w14:paraId="2D21DF08">
      <w:pPr>
        <w:pStyle w:val="69"/>
        <w:numPr>
          <w:ilvl w:val="3"/>
          <w:numId w:val="2"/>
        </w:numPr>
        <w:spacing w:before="0" w:beforeLines="0" w:after="0" w:afterLines="0"/>
        <w:rPr>
          <w:rFonts w:hint="eastAsia" w:ascii="宋体" w:hAnsi="宋体" w:eastAsia="宋体" w:cs="宋体"/>
        </w:rPr>
      </w:pPr>
      <w:bookmarkStart w:id="195" w:name="_Toc31297"/>
      <w:bookmarkStart w:id="196" w:name="_Toc5851"/>
      <w:bookmarkStart w:id="197" w:name="_Toc26229"/>
      <w:bookmarkStart w:id="198" w:name="_Toc19912"/>
      <w:bookmarkStart w:id="199" w:name="_Toc3642"/>
      <w:bookmarkStart w:id="200" w:name="_Toc9080"/>
      <w:r>
        <w:rPr>
          <w:rFonts w:hint="eastAsia" w:ascii="宋体" w:hAnsi="宋体" w:eastAsia="宋体" w:cs="宋体"/>
        </w:rPr>
        <w:t>现场储备的压井液</w:t>
      </w:r>
      <w:r>
        <w:rPr>
          <w:rFonts w:hint="eastAsia" w:ascii="宋体" w:hAnsi="宋体" w:eastAsia="宋体" w:cs="宋体"/>
          <w:lang w:val="en-US" w:eastAsia="zh-CN"/>
        </w:rPr>
        <w:t>及其性能</w:t>
      </w:r>
      <w:r>
        <w:rPr>
          <w:rFonts w:hint="eastAsia" w:ascii="宋体" w:hAnsi="宋体" w:eastAsia="宋体" w:cs="宋体"/>
          <w:lang w:eastAsia="zh-CN"/>
        </w:rPr>
        <w:t>、</w:t>
      </w:r>
      <w:r>
        <w:rPr>
          <w:rFonts w:hint="eastAsia" w:ascii="宋体" w:hAnsi="宋体" w:eastAsia="宋体" w:cs="宋体"/>
        </w:rPr>
        <w:t>加重材料</w:t>
      </w:r>
      <w:r>
        <w:rPr>
          <w:rFonts w:hint="eastAsia" w:ascii="宋体" w:hAnsi="宋体" w:eastAsia="宋体" w:cs="宋体"/>
          <w:lang w:val="en-US" w:eastAsia="zh-CN"/>
        </w:rPr>
        <w:t>储备量</w:t>
      </w:r>
      <w:r>
        <w:rPr>
          <w:rFonts w:hint="eastAsia" w:ascii="宋体" w:hAnsi="宋体" w:eastAsia="宋体" w:cs="宋体"/>
        </w:rPr>
        <w:t>应符合设计要求。</w:t>
      </w:r>
      <w:bookmarkEnd w:id="195"/>
      <w:bookmarkEnd w:id="196"/>
      <w:bookmarkEnd w:id="197"/>
      <w:bookmarkEnd w:id="198"/>
      <w:bookmarkEnd w:id="199"/>
      <w:bookmarkEnd w:id="200"/>
    </w:p>
    <w:p w14:paraId="689638C5">
      <w:pPr>
        <w:pStyle w:val="69"/>
        <w:numPr>
          <w:ilvl w:val="3"/>
          <w:numId w:val="2"/>
        </w:numPr>
        <w:spacing w:before="0" w:beforeLines="0" w:after="0" w:afterLines="0"/>
        <w:ind w:left="0"/>
        <w:rPr>
          <w:rFonts w:hint="eastAsia" w:ascii="宋体" w:hAnsi="宋体" w:eastAsia="宋体" w:cs="宋体"/>
          <w:highlight w:val="none"/>
        </w:rPr>
      </w:pPr>
      <w:bookmarkStart w:id="201" w:name="_Toc29609"/>
      <w:bookmarkStart w:id="202" w:name="_Toc14081"/>
      <w:bookmarkStart w:id="203" w:name="_Toc27035"/>
      <w:bookmarkStart w:id="204" w:name="_Toc12014"/>
      <w:bookmarkStart w:id="205" w:name="_Toc20213"/>
      <w:bookmarkStart w:id="206" w:name="_Toc4532"/>
      <w:r>
        <w:rPr>
          <w:rFonts w:hint="eastAsia" w:ascii="宋体" w:hAnsi="宋体" w:eastAsia="宋体" w:cs="宋体"/>
          <w:color w:val="auto"/>
          <w:sz w:val="21"/>
          <w:szCs w:val="21"/>
          <w:highlight w:val="none"/>
          <w:lang w:val="en-US" w:eastAsia="zh-CN" w:bidi="ar-SA"/>
        </w:rPr>
        <w:t>非连续作业时，应安装采油树或者关闭井控装置，并监测压力，防止发生井喷。</w:t>
      </w:r>
      <w:bookmarkEnd w:id="201"/>
      <w:bookmarkEnd w:id="202"/>
      <w:bookmarkEnd w:id="203"/>
      <w:bookmarkEnd w:id="204"/>
      <w:bookmarkEnd w:id="205"/>
      <w:bookmarkEnd w:id="206"/>
      <w:bookmarkStart w:id="207" w:name="_Toc4637"/>
      <w:bookmarkStart w:id="208" w:name="_Toc11273"/>
    </w:p>
    <w:p w14:paraId="49303FE4">
      <w:pPr>
        <w:pStyle w:val="69"/>
        <w:numPr>
          <w:ilvl w:val="3"/>
          <w:numId w:val="2"/>
        </w:numPr>
        <w:spacing w:before="0" w:beforeLines="0" w:after="0" w:afterLines="0"/>
        <w:ind w:left="0"/>
        <w:rPr>
          <w:rFonts w:hint="eastAsia" w:ascii="宋体" w:hAnsi="宋体" w:eastAsia="宋体" w:cs="宋体"/>
          <w:color w:val="auto"/>
          <w:sz w:val="21"/>
          <w:szCs w:val="21"/>
          <w:highlight w:val="none"/>
          <w:lang w:val="en-US" w:eastAsia="zh-CN" w:bidi="ar-SA"/>
        </w:rPr>
      </w:pPr>
      <w:bookmarkStart w:id="209" w:name="_Toc28280"/>
      <w:bookmarkStart w:id="210" w:name="_Toc24059"/>
      <w:r>
        <w:rPr>
          <w:rFonts w:hint="eastAsia" w:ascii="宋体" w:hAnsi="宋体" w:eastAsia="宋体" w:cs="宋体"/>
          <w:color w:val="auto"/>
          <w:sz w:val="21"/>
          <w:szCs w:val="21"/>
          <w:highlight w:val="none"/>
          <w:lang w:val="en-US" w:eastAsia="zh-CN" w:bidi="ar-SA"/>
        </w:rPr>
        <w:t>应加强溢流早期监测，</w:t>
      </w:r>
      <w:r>
        <w:rPr>
          <w:rFonts w:hint="eastAsia" w:ascii="宋体" w:hAnsi="宋体" w:eastAsia="宋体" w:cs="宋体"/>
          <w:color w:val="auto"/>
          <w:highlight w:val="none"/>
        </w:rPr>
        <w:t>持续监测循环</w:t>
      </w:r>
      <w:r>
        <w:rPr>
          <w:rFonts w:hint="eastAsia" w:ascii="宋体" w:hAnsi="宋体" w:eastAsia="宋体" w:cs="宋体"/>
          <w:color w:val="auto"/>
          <w:highlight w:val="none"/>
          <w:lang w:val="en-US" w:eastAsia="zh-CN"/>
        </w:rPr>
        <w:t>池</w:t>
      </w:r>
      <w:r>
        <w:rPr>
          <w:rFonts w:hint="eastAsia" w:ascii="宋体" w:hAnsi="宋体" w:eastAsia="宋体" w:cs="宋体"/>
          <w:color w:val="auto"/>
          <w:highlight w:val="none"/>
        </w:rPr>
        <w:t>液面变化</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起下钻灌入或</w:t>
      </w:r>
      <w:r>
        <w:rPr>
          <w:rFonts w:hint="eastAsia" w:ascii="宋体" w:hAnsi="宋体" w:eastAsia="宋体" w:cs="宋体"/>
          <w:color w:val="auto"/>
          <w:highlight w:val="none"/>
          <w:lang w:val="en-US" w:eastAsia="zh-CN"/>
        </w:rPr>
        <w:t>返出</w:t>
      </w:r>
      <w:r>
        <w:rPr>
          <w:rFonts w:hint="eastAsia" w:ascii="宋体" w:hAnsi="宋体" w:eastAsia="宋体" w:cs="宋体"/>
          <w:color w:val="auto"/>
          <w:highlight w:val="none"/>
        </w:rPr>
        <w:t>井液</w:t>
      </w:r>
      <w:r>
        <w:rPr>
          <w:rFonts w:hint="eastAsia" w:ascii="宋体" w:hAnsi="宋体" w:eastAsia="宋体" w:cs="宋体"/>
          <w:color w:val="auto"/>
          <w:highlight w:val="none"/>
          <w:lang w:val="en-US" w:eastAsia="zh-CN"/>
        </w:rPr>
        <w:t>量</w:t>
      </w:r>
      <w:r>
        <w:rPr>
          <w:rFonts w:hint="eastAsia" w:ascii="宋体" w:hAnsi="宋体" w:eastAsia="宋体" w:cs="宋体"/>
          <w:color w:val="auto"/>
          <w:highlight w:val="none"/>
          <w:lang w:eastAsia="zh-CN"/>
        </w:rPr>
        <w:t>，</w:t>
      </w:r>
      <w:r>
        <w:rPr>
          <w:rFonts w:hint="eastAsia" w:ascii="宋体" w:hAnsi="宋体" w:eastAsia="宋体" w:cs="宋体"/>
          <w:color w:val="auto"/>
          <w:sz w:val="21"/>
          <w:szCs w:val="21"/>
          <w:highlight w:val="none"/>
          <w:lang w:val="en-US" w:eastAsia="zh-CN" w:bidi="ar-SA"/>
        </w:rPr>
        <w:t>记录工程参数变化，发现溢流立即关井，疑似溢流关井检查。</w:t>
      </w:r>
      <w:bookmarkEnd w:id="207"/>
      <w:bookmarkEnd w:id="208"/>
      <w:bookmarkEnd w:id="209"/>
      <w:bookmarkEnd w:id="210"/>
    </w:p>
    <w:p w14:paraId="7871257E">
      <w:pPr>
        <w:pStyle w:val="108"/>
        <w:spacing w:before="120" w:after="120"/>
        <w:rPr>
          <w:rFonts w:hint="default" w:hAnsi="黑体" w:cs="黑体"/>
          <w:bCs/>
          <w:color w:val="000000"/>
          <w:szCs w:val="21"/>
          <w:lang w:val="en-US" w:eastAsia="zh-CN"/>
        </w:rPr>
      </w:pPr>
      <w:bookmarkStart w:id="211" w:name="_Toc26327"/>
      <w:bookmarkStart w:id="212" w:name="_Toc19194"/>
      <w:bookmarkStart w:id="213" w:name="_Toc27673"/>
      <w:r>
        <w:rPr>
          <w:rFonts w:hint="eastAsia" w:hAnsi="黑体" w:cs="黑体"/>
          <w:bCs/>
          <w:color w:val="000000"/>
          <w:szCs w:val="21"/>
          <w:lang w:val="en-US" w:eastAsia="zh-CN"/>
        </w:rPr>
        <w:t>井控设备安装与配置</w:t>
      </w:r>
      <w:bookmarkEnd w:id="211"/>
      <w:bookmarkEnd w:id="212"/>
      <w:bookmarkEnd w:id="213"/>
    </w:p>
    <w:p w14:paraId="772CA152">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default" w:ascii="Times New Roman" w:hAnsi="Times New Roman" w:eastAsia="宋体" w:cs="Times New Roman"/>
          <w:bCs/>
          <w:sz w:val="21"/>
          <w:szCs w:val="21"/>
          <w:highlight w:val="none"/>
        </w:rPr>
      </w:pPr>
      <w:bookmarkStart w:id="214" w:name="_Toc32683"/>
      <w:bookmarkStart w:id="215" w:name="_Toc15356"/>
      <w:bookmarkStart w:id="216" w:name="_Toc1120"/>
      <w:bookmarkStart w:id="217" w:name="_Toc21484"/>
      <w:bookmarkStart w:id="218" w:name="_Toc1720"/>
      <w:bookmarkStart w:id="219" w:name="_Toc11509"/>
      <w:r>
        <w:rPr>
          <w:rFonts w:hint="default" w:ascii="Times New Roman" w:hAnsi="Times New Roman" w:eastAsia="宋体" w:cs="Times New Roman"/>
          <w:bCs/>
          <w:sz w:val="21"/>
          <w:szCs w:val="21"/>
          <w:highlight w:val="none"/>
        </w:rPr>
        <w:t>井控</w:t>
      </w:r>
      <w:r>
        <w:rPr>
          <w:rFonts w:hint="default" w:ascii="Times New Roman" w:hAnsi="Times New Roman" w:eastAsia="宋体" w:cs="Times New Roman"/>
          <w:bCs/>
          <w:sz w:val="21"/>
          <w:szCs w:val="21"/>
          <w:highlight w:val="none"/>
          <w:lang w:val="en-US" w:eastAsia="zh-CN"/>
        </w:rPr>
        <w:t>设备</w:t>
      </w:r>
      <w:r>
        <w:rPr>
          <w:rFonts w:hint="default" w:ascii="Times New Roman" w:hAnsi="Times New Roman" w:eastAsia="宋体" w:cs="Times New Roman"/>
          <w:bCs/>
          <w:sz w:val="21"/>
          <w:szCs w:val="21"/>
          <w:highlight w:val="none"/>
        </w:rPr>
        <w:t>配置</w:t>
      </w:r>
      <w:r>
        <w:rPr>
          <w:rFonts w:hint="default" w:ascii="Times New Roman" w:hAnsi="Times New Roman" w:eastAsia="宋体" w:cs="Times New Roman"/>
          <w:bCs/>
          <w:sz w:val="21"/>
          <w:szCs w:val="21"/>
          <w:highlight w:val="none"/>
          <w:lang w:val="en-US" w:eastAsia="zh-CN"/>
        </w:rPr>
        <w:t>应</w:t>
      </w:r>
      <w:r>
        <w:rPr>
          <w:rFonts w:hint="default" w:ascii="Times New Roman" w:hAnsi="Times New Roman" w:eastAsia="宋体" w:cs="Times New Roman"/>
          <w:bCs/>
          <w:sz w:val="21"/>
          <w:szCs w:val="21"/>
          <w:highlight w:val="none"/>
        </w:rPr>
        <w:t>满足井下作业</w:t>
      </w:r>
      <w:r>
        <w:rPr>
          <w:rFonts w:hint="default" w:ascii="Times New Roman" w:hAnsi="Times New Roman" w:eastAsia="宋体" w:cs="Times New Roman"/>
          <w:bCs/>
          <w:sz w:val="21"/>
          <w:szCs w:val="21"/>
          <w:highlight w:val="none"/>
          <w:lang w:val="en-US" w:eastAsia="zh-CN"/>
        </w:rPr>
        <w:t>设计</w:t>
      </w:r>
      <w:r>
        <w:rPr>
          <w:rFonts w:hint="default" w:ascii="Times New Roman" w:hAnsi="Times New Roman" w:eastAsia="宋体" w:cs="Times New Roman"/>
          <w:bCs/>
          <w:sz w:val="21"/>
          <w:szCs w:val="21"/>
          <w:highlight w:val="none"/>
        </w:rPr>
        <w:t>要求，作业前应开展井控设备现场试验，确保井控装置安装规范，功能完备。</w:t>
      </w:r>
      <w:bookmarkEnd w:id="214"/>
      <w:bookmarkEnd w:id="215"/>
    </w:p>
    <w:p w14:paraId="75120D08">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220" w:name="_Toc18511"/>
      <w:bookmarkStart w:id="221" w:name="_Toc7174"/>
      <w:r>
        <w:rPr>
          <w:rFonts w:hint="eastAsia" w:ascii="宋体" w:hAnsi="宋体" w:eastAsia="宋体" w:cs="宋体"/>
        </w:rPr>
        <w:t>闸板防喷器</w:t>
      </w:r>
      <w:r>
        <w:rPr>
          <w:rFonts w:hint="eastAsia" w:ascii="宋体" w:hAnsi="宋体" w:eastAsia="宋体" w:cs="宋体"/>
          <w:lang w:eastAsia="zh-CN"/>
        </w:rPr>
        <w:t>、</w:t>
      </w:r>
      <w:r>
        <w:rPr>
          <w:rFonts w:hint="eastAsia" w:ascii="宋体" w:hAnsi="宋体" w:eastAsia="宋体" w:cs="宋体"/>
        </w:rPr>
        <w:t>内防喷工具</w:t>
      </w:r>
      <w:r>
        <w:rPr>
          <w:rFonts w:hint="eastAsia" w:ascii="宋体" w:hAnsi="宋体" w:eastAsia="宋体" w:cs="宋体"/>
          <w:lang w:eastAsia="zh-CN"/>
        </w:rPr>
        <w:t>、</w:t>
      </w:r>
      <w:r>
        <w:rPr>
          <w:rFonts w:hint="eastAsia" w:ascii="宋体" w:hAnsi="宋体" w:eastAsia="宋体" w:cs="宋体"/>
        </w:rPr>
        <w:t>井控管汇（线）</w:t>
      </w:r>
      <w:r>
        <w:rPr>
          <w:rFonts w:hint="eastAsia" w:ascii="宋体" w:hAnsi="宋体" w:eastAsia="宋体" w:cs="宋体"/>
          <w:lang w:val="en-US" w:eastAsia="zh-CN"/>
        </w:rPr>
        <w:t>的</w:t>
      </w:r>
      <w:r>
        <w:rPr>
          <w:rFonts w:hint="eastAsia" w:ascii="宋体" w:hAnsi="宋体" w:eastAsia="宋体" w:cs="宋体"/>
        </w:rPr>
        <w:t>额定工作压力应不低于</w:t>
      </w:r>
      <w:r>
        <w:rPr>
          <w:rFonts w:hint="eastAsia" w:ascii="宋体" w:hAnsi="宋体" w:eastAsia="宋体" w:cs="宋体"/>
          <w:lang w:val="en-US" w:eastAsia="zh-CN"/>
        </w:rPr>
        <w:t>当前</w:t>
      </w:r>
      <w:r>
        <w:rPr>
          <w:rFonts w:hint="eastAsia" w:ascii="宋体" w:hAnsi="宋体" w:eastAsia="宋体" w:cs="宋体"/>
          <w:highlight w:val="none"/>
        </w:rPr>
        <w:t>作业层位最大地层压力</w:t>
      </w:r>
      <w:r>
        <w:rPr>
          <w:rFonts w:hint="eastAsia" w:ascii="宋体" w:hAnsi="宋体" w:eastAsia="宋体" w:cs="宋体"/>
          <w:highlight w:val="none"/>
          <w:lang w:eastAsia="zh-CN"/>
        </w:rPr>
        <w:t>；</w:t>
      </w:r>
      <w:r>
        <w:rPr>
          <w:rFonts w:hint="eastAsia" w:ascii="宋体" w:hAnsi="宋体" w:eastAsia="宋体" w:cs="宋体"/>
        </w:rPr>
        <w:t>井控管汇（线）连接部件最小通径</w:t>
      </w:r>
      <w:r>
        <w:rPr>
          <w:rFonts w:hint="eastAsia" w:ascii="宋体" w:hAnsi="宋体" w:eastAsia="宋体" w:cs="宋体"/>
          <w:lang w:val="en-US" w:eastAsia="zh-CN"/>
        </w:rPr>
        <w:t>应</w:t>
      </w:r>
      <w:r>
        <w:rPr>
          <w:rFonts w:hint="eastAsia" w:ascii="宋体" w:hAnsi="宋体" w:eastAsia="宋体" w:cs="宋体"/>
        </w:rPr>
        <w:t>不小于50.8</w:t>
      </w:r>
      <w:r>
        <w:rPr>
          <w:rFonts w:hint="eastAsia" w:ascii="宋体" w:hAnsi="宋体" w:eastAsia="宋体" w:cs="宋体"/>
          <w:lang w:val="en-US" w:eastAsia="zh-CN"/>
        </w:rPr>
        <w:t xml:space="preserve"> </w:t>
      </w:r>
      <w:r>
        <w:rPr>
          <w:rFonts w:hint="eastAsia" w:ascii="宋体" w:hAnsi="宋体" w:eastAsia="宋体" w:cs="宋体"/>
        </w:rPr>
        <w:t>mm；防喷管线选用软管时，应使用耐火软管，并加装安全链或其他防护措施。</w:t>
      </w:r>
      <w:bookmarkEnd w:id="216"/>
      <w:bookmarkEnd w:id="217"/>
      <w:bookmarkEnd w:id="218"/>
      <w:bookmarkEnd w:id="219"/>
      <w:bookmarkEnd w:id="220"/>
      <w:bookmarkEnd w:id="221"/>
    </w:p>
    <w:p w14:paraId="7951878E">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222" w:name="_Toc10636"/>
      <w:bookmarkStart w:id="223" w:name="_Toc12096"/>
      <w:bookmarkStart w:id="224" w:name="_Toc3182"/>
      <w:bookmarkStart w:id="225" w:name="_Toc4121"/>
      <w:bookmarkStart w:id="226" w:name="_Toc24256"/>
      <w:bookmarkStart w:id="227" w:name="_Toc969"/>
      <w:r>
        <w:rPr>
          <w:rFonts w:hint="eastAsia" w:ascii="宋体" w:hAnsi="宋体" w:eastAsia="宋体" w:cs="宋体"/>
        </w:rPr>
        <w:t>井控</w:t>
      </w:r>
      <w:r>
        <w:rPr>
          <w:rFonts w:hint="eastAsia" w:ascii="宋体" w:hAnsi="宋体" w:eastAsia="宋体" w:cs="宋体"/>
          <w:lang w:val="en-US" w:eastAsia="zh-CN"/>
        </w:rPr>
        <w:t>设备的配置应</w:t>
      </w:r>
      <w:r>
        <w:rPr>
          <w:rFonts w:hint="eastAsia" w:ascii="宋体" w:hAnsi="宋体" w:eastAsia="宋体" w:cs="宋体"/>
        </w:rPr>
        <w:t>满足以下</w:t>
      </w:r>
      <w:r>
        <w:rPr>
          <w:rFonts w:hint="eastAsia" w:ascii="宋体" w:hAnsi="宋体" w:eastAsia="宋体" w:cs="宋体"/>
          <w:lang w:val="en-US" w:eastAsia="zh-CN"/>
        </w:rPr>
        <w:t>要求</w:t>
      </w:r>
      <w:r>
        <w:rPr>
          <w:rFonts w:hint="eastAsia" w:ascii="宋体" w:hAnsi="宋体" w:eastAsia="宋体" w:cs="宋体"/>
        </w:rPr>
        <w:t>：</w:t>
      </w:r>
      <w:bookmarkEnd w:id="222"/>
      <w:bookmarkEnd w:id="223"/>
      <w:bookmarkEnd w:id="224"/>
      <w:bookmarkEnd w:id="225"/>
      <w:bookmarkEnd w:id="226"/>
      <w:bookmarkEnd w:id="227"/>
    </w:p>
    <w:p w14:paraId="0CBCE21C">
      <w:pPr>
        <w:pStyle w:val="178"/>
        <w:keepNext w:val="0"/>
        <w:keepLines w:val="0"/>
        <w:pageBreakBefore w:val="0"/>
        <w:numPr>
          <w:ilvl w:val="0"/>
          <w:numId w:val="33"/>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有效封闭管柱与套管环空；</w:t>
      </w:r>
    </w:p>
    <w:p w14:paraId="7C789436">
      <w:pPr>
        <w:pStyle w:val="178"/>
        <w:keepNext w:val="0"/>
        <w:keepLines w:val="0"/>
        <w:pageBreakBefore w:val="0"/>
        <w:numPr>
          <w:ilvl w:val="0"/>
          <w:numId w:val="33"/>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应急情况下能剪断管柱实现有效封井；</w:t>
      </w:r>
    </w:p>
    <w:p w14:paraId="6F8045C1">
      <w:pPr>
        <w:pStyle w:val="178"/>
        <w:keepNext w:val="0"/>
        <w:keepLines w:val="0"/>
        <w:pageBreakBefore w:val="0"/>
        <w:numPr>
          <w:ilvl w:val="0"/>
          <w:numId w:val="33"/>
        </w:numPr>
        <w:kinsoku/>
        <w:wordWrap/>
        <w:overflowPunct/>
        <w:topLinePunct w:val="0"/>
        <w:bidi w:val="0"/>
        <w:adjustRightInd/>
        <w:snapToGrid/>
        <w:ind w:left="851" w:leftChars="0" w:hanging="426" w:firstLineChars="0"/>
        <w:textAlignment w:val="auto"/>
        <w:rPr>
          <w:rFonts w:hint="eastAsia" w:ascii="宋体" w:hAnsi="宋体" w:eastAsia="宋体" w:cs="宋体"/>
          <w:highlight w:val="none"/>
        </w:rPr>
      </w:pPr>
      <w:r>
        <w:rPr>
          <w:rFonts w:hint="eastAsia" w:ascii="宋体" w:hAnsi="宋体" w:eastAsia="宋体" w:cs="宋体"/>
          <w:highlight w:val="none"/>
        </w:rPr>
        <w:t>关闭闸板后能够锁紧闸板防喷器；</w:t>
      </w:r>
    </w:p>
    <w:p w14:paraId="7800C9E5">
      <w:pPr>
        <w:pStyle w:val="178"/>
        <w:keepNext w:val="0"/>
        <w:keepLines w:val="0"/>
        <w:pageBreakBefore w:val="0"/>
        <w:numPr>
          <w:ilvl w:val="0"/>
          <w:numId w:val="33"/>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关闭各种作业工况下的井口通道；</w:t>
      </w:r>
    </w:p>
    <w:p w14:paraId="79E30A39">
      <w:pPr>
        <w:pStyle w:val="178"/>
        <w:keepNext w:val="0"/>
        <w:keepLines w:val="0"/>
        <w:pageBreakBefore w:val="0"/>
        <w:numPr>
          <w:ilvl w:val="0"/>
          <w:numId w:val="33"/>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抵御腐蚀性地层流体的侵蚀；</w:t>
      </w:r>
    </w:p>
    <w:p w14:paraId="2BB01027">
      <w:pPr>
        <w:pStyle w:val="178"/>
        <w:keepNext w:val="0"/>
        <w:keepLines w:val="0"/>
        <w:pageBreakBefore w:val="0"/>
        <w:numPr>
          <w:ilvl w:val="0"/>
          <w:numId w:val="33"/>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作业环境温度的要求。</w:t>
      </w:r>
    </w:p>
    <w:p w14:paraId="13E81042">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hAnsi="Times New Roman" w:eastAsia="宋体" w:cs="Times New Roman"/>
          <w:sz w:val="21"/>
          <w:lang w:val="en-US" w:eastAsia="zh-CN" w:bidi="ar-SA"/>
        </w:rPr>
      </w:pPr>
      <w:bookmarkStart w:id="228" w:name="_Toc2335"/>
      <w:bookmarkStart w:id="229" w:name="_Toc19134"/>
      <w:r>
        <w:rPr>
          <w:rFonts w:hint="eastAsia" w:ascii="宋体" w:hAnsi="Times New Roman" w:eastAsia="宋体" w:cs="Times New Roman"/>
          <w:sz w:val="21"/>
          <w:lang w:val="en-US" w:eastAsia="zh-CN" w:bidi="ar-SA"/>
        </w:rPr>
        <w:t>防喷器控制系统应采用封闭式液压回路；应配置主控盘、司钻控制盘和辅助遥控盘，每个控制盘应具备操控所有防喷器及遥控压井阀和遥控放喷阀的功能，应安装在人员容易进入和便于操作的区域，并符合危险区域划分要求。</w:t>
      </w:r>
      <w:bookmarkEnd w:id="228"/>
      <w:bookmarkEnd w:id="229"/>
    </w:p>
    <w:p w14:paraId="34F9CD9B">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hAnsi="Times New Roman" w:eastAsia="宋体" w:cs="Times New Roman"/>
          <w:sz w:val="21"/>
          <w:lang w:val="en-US" w:eastAsia="zh-CN" w:bidi="ar-SA"/>
        </w:rPr>
      </w:pPr>
      <w:bookmarkStart w:id="230" w:name="_Toc352"/>
      <w:bookmarkStart w:id="231" w:name="_Toc30748"/>
      <w:r>
        <w:rPr>
          <w:rFonts w:hint="eastAsia" w:ascii="宋体" w:hAnsi="Times New Roman" w:eastAsia="宋体" w:cs="Times New Roman"/>
          <w:sz w:val="21"/>
          <w:lang w:val="en-US" w:eastAsia="zh-CN" w:bidi="ar-SA"/>
        </w:rPr>
        <w:t>控制系统应具备将蓄能器系统压力液不经过调压直接供给剪切闸板防喷器关位的液路。</w:t>
      </w:r>
      <w:bookmarkEnd w:id="230"/>
      <w:bookmarkEnd w:id="231"/>
    </w:p>
    <w:p w14:paraId="059A8102">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hAnsi="Times New Roman" w:eastAsia="宋体" w:cs="Times New Roman"/>
          <w:sz w:val="21"/>
          <w:lang w:val="en-US" w:eastAsia="zh-CN" w:bidi="ar-SA"/>
        </w:rPr>
      </w:pPr>
      <w:bookmarkStart w:id="232" w:name="_Toc31562"/>
      <w:bookmarkStart w:id="233" w:name="_Toc26678"/>
      <w:r>
        <w:rPr>
          <w:rFonts w:hint="eastAsia" w:ascii="宋体" w:hAnsi="Times New Roman" w:eastAsia="宋体" w:cs="Times New Roman"/>
          <w:sz w:val="21"/>
          <w:lang w:val="en-US" w:eastAsia="zh-CN" w:bidi="ar-SA"/>
        </w:rPr>
        <w:t>每个控制盘内的剪切密封闸板防喷器功能按钮或操作阀应安装防止误操作的安全护罩。</w:t>
      </w:r>
      <w:bookmarkEnd w:id="232"/>
      <w:bookmarkEnd w:id="233"/>
    </w:p>
    <w:p w14:paraId="2E91664E">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hAnsi="Times New Roman" w:eastAsia="宋体" w:cs="Times New Roman"/>
          <w:sz w:val="21"/>
          <w:lang w:val="en-US" w:eastAsia="zh-CN" w:bidi="ar-SA"/>
        </w:rPr>
      </w:pPr>
      <w:bookmarkStart w:id="234" w:name="_Toc28543"/>
      <w:bookmarkStart w:id="235" w:name="_Toc13615"/>
      <w:r>
        <w:rPr>
          <w:rFonts w:hint="eastAsia" w:ascii="宋体" w:hAnsi="Times New Roman" w:eastAsia="宋体" w:cs="Times New Roman"/>
          <w:sz w:val="21"/>
          <w:lang w:val="en-US" w:eastAsia="zh-CN" w:bidi="ar-SA"/>
        </w:rPr>
        <w:t>控制系统主控盘至防喷器组的液压控制软管应采用耐火铠装软管，排列整齐并进行标识。</w:t>
      </w:r>
      <w:bookmarkEnd w:id="234"/>
      <w:bookmarkEnd w:id="235"/>
    </w:p>
    <w:p w14:paraId="1237C237">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236" w:name="_Toc11526"/>
      <w:bookmarkStart w:id="237" w:name="_Toc15345"/>
      <w:bookmarkStart w:id="238" w:name="_Toc16799"/>
      <w:bookmarkStart w:id="239" w:name="_Toc3859"/>
      <w:bookmarkStart w:id="240" w:name="_Toc19317"/>
      <w:bookmarkStart w:id="241" w:name="_Toc9415"/>
      <w:r>
        <w:rPr>
          <w:rFonts w:hint="eastAsia" w:ascii="宋体" w:eastAsia="宋体" w:cs="Times New Roman"/>
          <w:sz w:val="21"/>
          <w:lang w:val="en-US" w:eastAsia="zh-CN" w:bidi="ar-SA"/>
        </w:rPr>
        <w:t>应配备内防喷工具并保持常开状态，定期对内防喷工具进行开关活动，开关工具置于便于快速取用位置。</w:t>
      </w:r>
      <w:bookmarkEnd w:id="236"/>
      <w:bookmarkEnd w:id="237"/>
      <w:bookmarkEnd w:id="238"/>
      <w:bookmarkEnd w:id="239"/>
      <w:bookmarkEnd w:id="240"/>
      <w:bookmarkEnd w:id="241"/>
    </w:p>
    <w:p w14:paraId="5ECB7E5D">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color w:val="auto"/>
          <w:sz w:val="21"/>
          <w:highlight w:val="none"/>
          <w:lang w:val="en-US" w:eastAsia="zh-CN" w:bidi="ar-SA"/>
        </w:rPr>
      </w:pPr>
      <w:bookmarkStart w:id="242" w:name="_Toc7018"/>
      <w:bookmarkStart w:id="243" w:name="_Toc425"/>
      <w:bookmarkStart w:id="244" w:name="_Toc21329"/>
      <w:bookmarkStart w:id="245" w:name="_Toc17320"/>
      <w:bookmarkStart w:id="246" w:name="_Toc30602"/>
      <w:bookmarkStart w:id="247" w:name="_Toc21431"/>
      <w:r>
        <w:rPr>
          <w:rFonts w:hint="eastAsia" w:ascii="宋体" w:eastAsia="宋体" w:cs="Times New Roman"/>
          <w:color w:val="auto"/>
          <w:sz w:val="21"/>
          <w:lang w:val="en-US" w:eastAsia="zh-CN" w:bidi="ar-SA"/>
        </w:rPr>
        <w:t>起下管柱作业节流管汇应正常接入生产流程或配备液气分离器；滩海、人工岛节流管汇和放</w:t>
      </w:r>
      <w:r>
        <w:rPr>
          <w:rFonts w:hint="eastAsia" w:ascii="宋体" w:eastAsia="宋体" w:cs="Times New Roman"/>
          <w:color w:val="auto"/>
          <w:sz w:val="21"/>
          <w:highlight w:val="none"/>
          <w:lang w:val="en-US" w:eastAsia="zh-CN" w:bidi="ar-SA"/>
        </w:rPr>
        <w:t>喷管线应按设计要求安装。</w:t>
      </w:r>
      <w:bookmarkEnd w:id="242"/>
      <w:bookmarkEnd w:id="243"/>
      <w:bookmarkEnd w:id="244"/>
      <w:bookmarkEnd w:id="245"/>
      <w:bookmarkEnd w:id="246"/>
      <w:bookmarkEnd w:id="247"/>
    </w:p>
    <w:p w14:paraId="4C606127">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248" w:name="_Toc22044"/>
      <w:bookmarkStart w:id="249" w:name="_Toc2422"/>
      <w:bookmarkStart w:id="250" w:name="_Toc1131"/>
      <w:bookmarkStart w:id="251" w:name="_Toc2897"/>
      <w:bookmarkStart w:id="252" w:name="_Toc29348"/>
      <w:bookmarkStart w:id="253" w:name="_Toc6772"/>
      <w:r>
        <w:rPr>
          <w:rFonts w:hint="eastAsia" w:ascii="宋体" w:eastAsia="宋体" w:cs="Times New Roman"/>
          <w:sz w:val="21"/>
          <w:highlight w:val="none"/>
          <w:lang w:val="en-US" w:eastAsia="zh-CN" w:bidi="ar-SA"/>
        </w:rPr>
        <w:t>当闸板防喷器尺寸不能覆盖所有管柱直径时，应准备防喷单根或防喷立柱，并置于井口便于快速取用位置。</w:t>
      </w:r>
      <w:bookmarkEnd w:id="248"/>
      <w:bookmarkEnd w:id="249"/>
      <w:bookmarkEnd w:id="250"/>
      <w:bookmarkEnd w:id="251"/>
      <w:bookmarkEnd w:id="252"/>
      <w:bookmarkEnd w:id="253"/>
    </w:p>
    <w:p w14:paraId="1AB35963">
      <w:pPr>
        <w:pStyle w:val="108"/>
        <w:spacing w:before="120" w:after="120"/>
        <w:rPr>
          <w:rFonts w:hint="default" w:hAnsi="黑体" w:cs="黑体"/>
          <w:bCs/>
          <w:color w:val="000000"/>
          <w:szCs w:val="21"/>
          <w:lang w:val="en-US" w:eastAsia="zh-CN"/>
        </w:rPr>
      </w:pPr>
      <w:bookmarkStart w:id="254" w:name="_Toc27244"/>
      <w:bookmarkStart w:id="255" w:name="_Toc1194"/>
      <w:bookmarkStart w:id="256" w:name="_Toc25621"/>
      <w:r>
        <w:rPr>
          <w:rFonts w:hint="eastAsia" w:hAnsi="黑体" w:cs="黑体"/>
          <w:bCs/>
          <w:color w:val="000000"/>
          <w:szCs w:val="21"/>
          <w:lang w:val="en-US" w:eastAsia="zh-CN"/>
        </w:rPr>
        <w:t>井控设备试压</w:t>
      </w:r>
      <w:bookmarkEnd w:id="254"/>
      <w:bookmarkEnd w:id="255"/>
      <w:bookmarkEnd w:id="256"/>
    </w:p>
    <w:p w14:paraId="746E7410">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257" w:name="_Toc24201"/>
      <w:bookmarkStart w:id="258" w:name="_Toc10348"/>
      <w:bookmarkStart w:id="259" w:name="_Toc28588"/>
      <w:bookmarkStart w:id="260" w:name="_Toc18418"/>
      <w:bookmarkStart w:id="261" w:name="_Toc29034"/>
      <w:bookmarkStart w:id="262" w:name="_Toc18197"/>
      <w:r>
        <w:rPr>
          <w:rFonts w:hint="eastAsia" w:ascii="宋体" w:hAnsi="宋体" w:eastAsia="宋体" w:cs="宋体"/>
          <w:lang w:val="en-US" w:eastAsia="zh-CN"/>
        </w:rPr>
        <w:t>井控设备</w:t>
      </w:r>
      <w:r>
        <w:rPr>
          <w:rFonts w:hint="eastAsia" w:ascii="宋体" w:hAnsi="宋体" w:eastAsia="宋体" w:cs="宋体"/>
        </w:rPr>
        <w:t>年度检验期间应按照额定工作压力试压</w:t>
      </w:r>
      <w:r>
        <w:rPr>
          <w:rFonts w:hint="eastAsia" w:ascii="宋体" w:hAnsi="宋体" w:eastAsia="宋体" w:cs="宋体"/>
          <w:lang w:eastAsia="zh-CN"/>
        </w:rPr>
        <w:t>；</w:t>
      </w:r>
      <w:r>
        <w:rPr>
          <w:rFonts w:hint="eastAsia" w:ascii="宋体" w:hAnsi="宋体" w:eastAsia="宋体" w:cs="宋体"/>
        </w:rPr>
        <w:t>现场安装后，在不超过套管抗内压强度80%的前提下，环形防喷器（封闭管柱）、闸板防喷器、内防喷工具和井控管汇（线）应按照不低</w:t>
      </w:r>
      <w:r>
        <w:rPr>
          <w:rFonts w:hint="eastAsia" w:ascii="宋体" w:hAnsi="宋体" w:eastAsia="宋体" w:cs="宋体"/>
          <w:highlight w:val="none"/>
        </w:rPr>
        <w:t>于预测最高井口关井压力</w:t>
      </w:r>
      <w:r>
        <w:rPr>
          <w:rFonts w:hint="eastAsia" w:ascii="宋体" w:hAnsi="宋体" w:eastAsia="宋体" w:cs="宋体"/>
        </w:rPr>
        <w:t>试压，且环形防喷器试压不应超过额定工作压力的70%。</w:t>
      </w:r>
      <w:bookmarkEnd w:id="257"/>
      <w:bookmarkEnd w:id="258"/>
      <w:bookmarkEnd w:id="259"/>
      <w:bookmarkEnd w:id="260"/>
      <w:bookmarkEnd w:id="261"/>
      <w:bookmarkEnd w:id="262"/>
    </w:p>
    <w:p w14:paraId="567780EB">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263" w:name="_Toc4660"/>
      <w:bookmarkStart w:id="264" w:name="_Toc2631"/>
      <w:bookmarkStart w:id="265" w:name="_Toc22368"/>
      <w:bookmarkStart w:id="266" w:name="_Toc26095"/>
      <w:bookmarkStart w:id="267" w:name="_Toc22353"/>
      <w:bookmarkStart w:id="268" w:name="_Toc25127"/>
      <w:r>
        <w:rPr>
          <w:rFonts w:hint="eastAsia" w:ascii="宋体" w:hAnsi="宋体" w:eastAsia="宋体" w:cs="宋体"/>
        </w:rPr>
        <w:t>所有压力试验均应先进行低压试验，低压试验压力为2.1</w:t>
      </w:r>
      <w:r>
        <w:rPr>
          <w:rFonts w:hint="eastAsia" w:ascii="宋体" w:hAnsi="宋体" w:eastAsia="宋体" w:cs="宋体"/>
          <w:lang w:val="en-US" w:eastAsia="zh-CN"/>
        </w:rPr>
        <w:t xml:space="preserve"> </w:t>
      </w:r>
      <w:r>
        <w:rPr>
          <w:rFonts w:hint="eastAsia" w:ascii="宋体" w:hAnsi="宋体" w:eastAsia="宋体" w:cs="宋体"/>
        </w:rPr>
        <w:t>MPa，稳压时间不少于5</w:t>
      </w:r>
      <w:r>
        <w:rPr>
          <w:rFonts w:hint="eastAsia" w:ascii="宋体" w:hAnsi="宋体" w:eastAsia="宋体" w:cs="宋体"/>
          <w:lang w:val="en-US" w:eastAsia="zh-CN"/>
        </w:rPr>
        <w:t xml:space="preserve"> </w:t>
      </w:r>
      <w:r>
        <w:rPr>
          <w:rFonts w:hint="eastAsia" w:ascii="宋体" w:hAnsi="宋体" w:eastAsia="宋体" w:cs="宋体"/>
        </w:rPr>
        <w:t>min，压降不超过0.07</w:t>
      </w:r>
      <w:r>
        <w:rPr>
          <w:rFonts w:hint="eastAsia" w:ascii="宋体" w:hAnsi="宋体" w:eastAsia="宋体" w:cs="宋体"/>
          <w:lang w:val="en-US" w:eastAsia="zh-CN"/>
        </w:rPr>
        <w:t xml:space="preserve"> </w:t>
      </w:r>
      <w:r>
        <w:rPr>
          <w:rFonts w:hint="eastAsia" w:ascii="宋体" w:hAnsi="宋体" w:eastAsia="宋体" w:cs="宋体"/>
        </w:rPr>
        <w:t>MPa；高压试验稳压时间不少于10</w:t>
      </w:r>
      <w:r>
        <w:rPr>
          <w:rFonts w:hint="eastAsia" w:ascii="宋体" w:hAnsi="宋体" w:eastAsia="宋体" w:cs="宋体"/>
          <w:lang w:val="en-US" w:eastAsia="zh-CN"/>
        </w:rPr>
        <w:t xml:space="preserve"> </w:t>
      </w:r>
      <w:r>
        <w:rPr>
          <w:rFonts w:hint="eastAsia" w:ascii="宋体" w:hAnsi="宋体" w:eastAsia="宋体" w:cs="宋体"/>
        </w:rPr>
        <w:t>min，压降不超过0.7</w:t>
      </w:r>
      <w:r>
        <w:rPr>
          <w:rFonts w:hint="eastAsia" w:ascii="宋体" w:hAnsi="宋体" w:eastAsia="宋体" w:cs="宋体"/>
          <w:lang w:val="en-US" w:eastAsia="zh-CN"/>
        </w:rPr>
        <w:t xml:space="preserve"> </w:t>
      </w:r>
      <w:r>
        <w:rPr>
          <w:rFonts w:hint="eastAsia" w:ascii="宋体" w:hAnsi="宋体" w:eastAsia="宋体" w:cs="宋体"/>
        </w:rPr>
        <w:t>MPa；密封部件无渗漏为合格；试压记录应由作业人员签字并保留。</w:t>
      </w:r>
      <w:bookmarkEnd w:id="263"/>
      <w:bookmarkEnd w:id="264"/>
      <w:bookmarkEnd w:id="265"/>
      <w:bookmarkEnd w:id="266"/>
      <w:bookmarkEnd w:id="267"/>
      <w:bookmarkEnd w:id="268"/>
    </w:p>
    <w:p w14:paraId="441BAC0E">
      <w:pPr>
        <w:pStyle w:val="69"/>
        <w:keepNext w:val="0"/>
        <w:keepLines w:val="0"/>
        <w:pageBreakBefore w:val="0"/>
        <w:numPr>
          <w:ilvl w:val="3"/>
          <w:numId w:val="2"/>
        </w:numPr>
        <w:kinsoku/>
        <w:wordWrap/>
        <w:overflowPunct/>
        <w:topLinePunct w:val="0"/>
        <w:bidi w:val="0"/>
        <w:adjustRightInd/>
        <w:snapToGrid/>
        <w:spacing w:before="0" w:beforeLines="0" w:after="0" w:afterLines="0"/>
        <w:textAlignment w:val="auto"/>
        <w:rPr>
          <w:rFonts w:hint="eastAsia" w:ascii="宋体" w:hAnsi="宋体" w:eastAsia="宋体" w:cs="宋体"/>
        </w:rPr>
      </w:pPr>
      <w:bookmarkStart w:id="269" w:name="_Toc31032"/>
      <w:bookmarkStart w:id="270" w:name="_Toc17108"/>
      <w:bookmarkStart w:id="271" w:name="_Toc7480"/>
      <w:bookmarkStart w:id="272" w:name="_Toc25695"/>
      <w:bookmarkStart w:id="273" w:name="_Toc24915"/>
      <w:bookmarkStart w:id="274" w:name="_Toc2580"/>
      <w:r>
        <w:rPr>
          <w:rFonts w:hint="eastAsia" w:ascii="宋体" w:hAnsi="宋体" w:eastAsia="宋体" w:cs="宋体"/>
        </w:rPr>
        <w:t>井控</w:t>
      </w:r>
      <w:r>
        <w:rPr>
          <w:rFonts w:hint="eastAsia" w:ascii="宋体" w:hAnsi="宋体" w:eastAsia="宋体" w:cs="宋体"/>
          <w:lang w:val="en-US" w:eastAsia="zh-CN"/>
        </w:rPr>
        <w:t>设备</w:t>
      </w:r>
      <w:r>
        <w:rPr>
          <w:rFonts w:hint="eastAsia" w:ascii="宋体" w:hAnsi="宋体" w:eastAsia="宋体" w:cs="宋体"/>
        </w:rPr>
        <w:t>的试压周期应满足以下要求：</w:t>
      </w:r>
      <w:bookmarkEnd w:id="269"/>
      <w:bookmarkEnd w:id="270"/>
      <w:bookmarkEnd w:id="271"/>
      <w:bookmarkEnd w:id="272"/>
      <w:bookmarkEnd w:id="273"/>
      <w:bookmarkEnd w:id="274"/>
    </w:p>
    <w:p w14:paraId="6F357C10">
      <w:pPr>
        <w:pStyle w:val="178"/>
        <w:keepNext w:val="0"/>
        <w:keepLines w:val="0"/>
        <w:pageBreakBefore w:val="0"/>
        <w:numPr>
          <w:ilvl w:val="0"/>
          <w:numId w:val="34"/>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井控</w:t>
      </w:r>
      <w:r>
        <w:rPr>
          <w:rFonts w:hint="eastAsia" w:ascii="宋体" w:hAnsi="宋体" w:eastAsia="宋体" w:cs="宋体"/>
          <w:lang w:val="en-US" w:eastAsia="zh-CN"/>
        </w:rPr>
        <w:t>装置</w:t>
      </w:r>
      <w:r>
        <w:rPr>
          <w:rFonts w:hint="eastAsia" w:ascii="宋体" w:hAnsi="宋体" w:eastAsia="宋体" w:cs="宋体"/>
        </w:rPr>
        <w:t>现场组合安装后；</w:t>
      </w:r>
    </w:p>
    <w:p w14:paraId="046064EB">
      <w:pPr>
        <w:pStyle w:val="178"/>
        <w:keepNext w:val="0"/>
        <w:keepLines w:val="0"/>
        <w:pageBreakBefore w:val="0"/>
        <w:numPr>
          <w:ilvl w:val="0"/>
          <w:numId w:val="34"/>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正常作业期间，试压间隔不超过14天；</w:t>
      </w:r>
    </w:p>
    <w:p w14:paraId="4B447E1F">
      <w:pPr>
        <w:pStyle w:val="178"/>
        <w:keepNext w:val="0"/>
        <w:keepLines w:val="0"/>
        <w:pageBreakBefore w:val="0"/>
        <w:numPr>
          <w:ilvl w:val="0"/>
          <w:numId w:val="34"/>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每次拆装防喷器组及井控管汇后；</w:t>
      </w:r>
    </w:p>
    <w:p w14:paraId="61A34F60">
      <w:pPr>
        <w:pStyle w:val="178"/>
        <w:keepNext w:val="0"/>
        <w:keepLines w:val="0"/>
        <w:pageBreakBefore w:val="0"/>
        <w:numPr>
          <w:ilvl w:val="0"/>
          <w:numId w:val="34"/>
        </w:numPr>
        <w:kinsoku/>
        <w:wordWrap/>
        <w:overflowPunct/>
        <w:topLinePunct w:val="0"/>
        <w:bidi w:val="0"/>
        <w:adjustRightInd/>
        <w:snapToGrid/>
        <w:ind w:left="851" w:leftChars="0" w:hanging="426" w:firstLineChars="0"/>
        <w:textAlignment w:val="auto"/>
        <w:rPr>
          <w:rFonts w:hint="eastAsia" w:ascii="宋体" w:hAnsi="宋体" w:eastAsia="宋体" w:cs="宋体"/>
        </w:rPr>
      </w:pPr>
      <w:r>
        <w:rPr>
          <w:rFonts w:hint="eastAsia" w:ascii="宋体" w:hAnsi="宋体" w:eastAsia="宋体" w:cs="宋体"/>
        </w:rPr>
        <w:t xml:space="preserve">每次节流放喷后； </w:t>
      </w:r>
    </w:p>
    <w:p w14:paraId="2C6CF033">
      <w:pPr>
        <w:pStyle w:val="178"/>
        <w:keepNext w:val="0"/>
        <w:keepLines w:val="0"/>
        <w:pageBreakBefore w:val="0"/>
        <w:numPr>
          <w:ilvl w:val="0"/>
          <w:numId w:val="34"/>
        </w:numPr>
        <w:kinsoku/>
        <w:wordWrap/>
        <w:overflowPunct/>
        <w:topLinePunct w:val="0"/>
        <w:bidi w:val="0"/>
        <w:adjustRightInd/>
        <w:snapToGrid/>
        <w:ind w:left="851" w:leftChars="0" w:hanging="426" w:firstLineChars="0"/>
        <w:textAlignment w:val="auto"/>
        <w:rPr>
          <w:rFonts w:hint="eastAsia" w:ascii="宋体" w:hAnsi="宋体" w:eastAsia="宋体" w:cs="宋体"/>
          <w:highlight w:val="none"/>
          <w:lang w:val="en-US" w:eastAsia="zh-CN"/>
        </w:rPr>
      </w:pPr>
      <w:r>
        <w:rPr>
          <w:rFonts w:hint="eastAsia" w:ascii="宋体" w:hAnsi="宋体" w:eastAsia="宋体" w:cs="宋体"/>
        </w:rPr>
        <w:t>现场维修更换密封件后。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74853924">
      <w:pPr>
        <w:pStyle w:val="107"/>
        <w:spacing w:before="240" w:after="240"/>
        <w:rPr>
          <w:rFonts w:hint="eastAsia" w:hAnsi="黑体"/>
          <w:bCs/>
          <w:color w:val="000000"/>
          <w:szCs w:val="21"/>
        </w:rPr>
      </w:pPr>
      <w:bookmarkStart w:id="275" w:name="_Toc17403"/>
      <w:bookmarkStart w:id="276" w:name="_Toc17051"/>
      <w:bookmarkStart w:id="277" w:name="_Toc5096"/>
      <w:bookmarkStart w:id="278" w:name="_Toc32442"/>
      <w:r>
        <w:rPr>
          <w:rFonts w:hint="eastAsia" w:hAnsi="黑体"/>
          <w:bCs/>
          <w:color w:val="000000"/>
          <w:szCs w:val="21"/>
          <w:lang w:eastAsia="zh-CN"/>
        </w:rPr>
        <w:t>施工作业</w:t>
      </w:r>
      <w:bookmarkEnd w:id="275"/>
      <w:bookmarkEnd w:id="276"/>
      <w:bookmarkEnd w:id="277"/>
      <w:bookmarkEnd w:id="278"/>
    </w:p>
    <w:p w14:paraId="2D614059">
      <w:pPr>
        <w:pStyle w:val="108"/>
        <w:spacing w:before="120" w:after="120"/>
        <w:rPr>
          <w:highlight w:val="none"/>
        </w:rPr>
      </w:pPr>
      <w:bookmarkStart w:id="279" w:name="_Toc10657"/>
      <w:bookmarkStart w:id="280" w:name="_Toc12615"/>
      <w:bookmarkStart w:id="281" w:name="_Toc15992"/>
      <w:bookmarkStart w:id="282" w:name="_Toc10361"/>
      <w:r>
        <w:rPr>
          <w:rFonts w:hint="eastAsia"/>
          <w:highlight w:val="none"/>
          <w:lang w:eastAsia="zh-CN"/>
        </w:rPr>
        <w:t>基本</w:t>
      </w:r>
      <w:r>
        <w:rPr>
          <w:rFonts w:hint="eastAsia"/>
          <w:highlight w:val="none"/>
        </w:rPr>
        <w:t>要求</w:t>
      </w:r>
      <w:bookmarkEnd w:id="279"/>
      <w:bookmarkEnd w:id="280"/>
      <w:bookmarkEnd w:id="281"/>
      <w:bookmarkEnd w:id="282"/>
    </w:p>
    <w:p w14:paraId="23CA5E8A">
      <w:pPr>
        <w:pStyle w:val="69"/>
        <w:numPr>
          <w:ilvl w:val="3"/>
          <w:numId w:val="2"/>
        </w:numPr>
        <w:spacing w:before="0" w:beforeLines="0" w:after="0" w:afterLines="0"/>
        <w:rPr>
          <w:rFonts w:hint="eastAsia" w:ascii="宋体" w:hAnsi="宋体" w:eastAsia="宋体" w:cs="宋体"/>
        </w:rPr>
      </w:pPr>
      <w:bookmarkStart w:id="283" w:name="_Toc4219"/>
      <w:bookmarkStart w:id="284" w:name="_Toc28206"/>
      <w:bookmarkStart w:id="285" w:name="_Toc17616"/>
      <w:bookmarkStart w:id="286" w:name="_Toc1287"/>
      <w:bookmarkStart w:id="287" w:name="_Toc6651"/>
      <w:bookmarkStart w:id="288" w:name="_Toc27990"/>
      <w:r>
        <w:rPr>
          <w:rFonts w:hint="eastAsia" w:ascii="宋体" w:hAnsi="宋体" w:eastAsia="宋体" w:cs="宋体"/>
        </w:rPr>
        <w:t>作业前应进行开工验收，组织对人员资质、设备设施、物资储备、应急预案等进行检查验收合格。</w:t>
      </w:r>
      <w:bookmarkEnd w:id="283"/>
      <w:bookmarkEnd w:id="284"/>
      <w:bookmarkEnd w:id="285"/>
      <w:bookmarkEnd w:id="286"/>
      <w:bookmarkEnd w:id="287"/>
      <w:bookmarkEnd w:id="288"/>
    </w:p>
    <w:p w14:paraId="2500F8D9">
      <w:pPr>
        <w:pStyle w:val="69"/>
        <w:numPr>
          <w:ilvl w:val="3"/>
          <w:numId w:val="2"/>
        </w:numPr>
        <w:spacing w:before="0" w:beforeLines="0" w:after="0" w:afterLines="0"/>
        <w:rPr>
          <w:rFonts w:hint="eastAsia" w:ascii="宋体" w:hAnsi="宋体" w:eastAsia="宋体" w:cs="宋体"/>
          <w:color w:val="auto"/>
          <w:sz w:val="21"/>
          <w:szCs w:val="21"/>
          <w:highlight w:val="none"/>
          <w:lang w:val="en-US" w:eastAsia="zh-CN" w:bidi="ar-SA"/>
        </w:rPr>
      </w:pPr>
      <w:bookmarkStart w:id="289" w:name="_Toc15085"/>
      <w:bookmarkStart w:id="290" w:name="_Toc14687"/>
      <w:bookmarkStart w:id="291" w:name="_Toc22168"/>
      <w:bookmarkStart w:id="292" w:name="_Toc30922"/>
      <w:bookmarkStart w:id="293" w:name="_Toc20013"/>
      <w:bookmarkStart w:id="294" w:name="_Toc11552"/>
      <w:r>
        <w:rPr>
          <w:rFonts w:hint="eastAsia" w:ascii="宋体" w:hAnsi="宋体" w:eastAsia="宋体" w:cs="宋体"/>
          <w:highlight w:val="none"/>
        </w:rPr>
        <w:t>作业前应组织安全技术交底会，开展井控、消防及弃平台应急演练</w:t>
      </w:r>
      <w:bookmarkEnd w:id="289"/>
      <w:bookmarkEnd w:id="290"/>
      <w:r>
        <w:rPr>
          <w:rFonts w:hint="eastAsia" w:ascii="宋体" w:hAnsi="宋体" w:eastAsia="宋体" w:cs="宋体"/>
          <w:highlight w:val="none"/>
          <w:lang w:eastAsia="zh-CN"/>
        </w:rPr>
        <w:t>，</w:t>
      </w:r>
      <w:r>
        <w:rPr>
          <w:rFonts w:hint="eastAsia" w:ascii="宋体" w:hAnsi="宋体" w:eastAsia="宋体" w:cs="宋体"/>
          <w:highlight w:val="none"/>
          <w:lang w:val="en-US" w:eastAsia="zh-CN"/>
        </w:rPr>
        <w:t>含</w:t>
      </w:r>
      <w:r>
        <w:rPr>
          <w:rFonts w:hint="eastAsia" w:ascii="宋体" w:hAnsi="宋体" w:eastAsia="宋体" w:cs="宋体"/>
          <w:highlight w:val="none"/>
        </w:rPr>
        <w:t>硫化氢</w:t>
      </w:r>
      <w:r>
        <w:rPr>
          <w:rFonts w:hint="eastAsia" w:ascii="宋体" w:hAnsi="宋体" w:eastAsia="宋体" w:cs="宋体"/>
          <w:highlight w:val="none"/>
          <w:lang w:val="en-US" w:eastAsia="zh-CN"/>
        </w:rPr>
        <w:t>油气</w:t>
      </w:r>
      <w:r>
        <w:rPr>
          <w:rFonts w:hint="eastAsia" w:ascii="宋体" w:hAnsi="宋体" w:eastAsia="宋体" w:cs="宋体"/>
          <w:highlight w:val="none"/>
          <w:lang w:eastAsia="zh-CN"/>
        </w:rPr>
        <w:t>井还应进行防硫化氢应急演练。</w:t>
      </w:r>
      <w:bookmarkEnd w:id="291"/>
      <w:bookmarkEnd w:id="292"/>
      <w:bookmarkEnd w:id="293"/>
      <w:bookmarkEnd w:id="294"/>
    </w:p>
    <w:p w14:paraId="54E646DA">
      <w:pPr>
        <w:pStyle w:val="69"/>
        <w:numPr>
          <w:ilvl w:val="3"/>
          <w:numId w:val="2"/>
        </w:numPr>
        <w:spacing w:before="0" w:beforeLines="0" w:after="0" w:afterLines="0"/>
        <w:rPr>
          <w:rFonts w:hint="eastAsia" w:ascii="宋体" w:hAnsi="宋体" w:eastAsia="宋体" w:cs="宋体"/>
        </w:rPr>
      </w:pPr>
      <w:bookmarkStart w:id="295" w:name="_Toc10713"/>
      <w:bookmarkStart w:id="296" w:name="_Toc20104"/>
      <w:bookmarkStart w:id="297" w:name="_Toc116"/>
      <w:bookmarkStart w:id="298" w:name="_Toc5626"/>
      <w:bookmarkStart w:id="299" w:name="_Toc12367"/>
      <w:bookmarkStart w:id="300" w:name="_Toc20783"/>
      <w:r>
        <w:rPr>
          <w:rFonts w:hint="eastAsia" w:ascii="宋体" w:hAnsi="宋体" w:eastAsia="宋体" w:cs="宋体"/>
          <w:lang w:val="en-US" w:eastAsia="zh-CN"/>
        </w:rPr>
        <w:t>硫化氢防护及含硫化氢地层井下作业措施</w:t>
      </w:r>
      <w:r>
        <w:rPr>
          <w:rFonts w:hint="eastAsia" w:ascii="宋体" w:hAnsi="宋体" w:eastAsia="宋体" w:cs="宋体"/>
        </w:rPr>
        <w:t>应符合GB 46995的</w:t>
      </w:r>
      <w:r>
        <w:rPr>
          <w:rFonts w:hint="eastAsia" w:ascii="宋体" w:hAnsi="宋体" w:eastAsia="宋体" w:cs="宋体"/>
          <w:lang w:val="en-US" w:eastAsia="zh-CN"/>
        </w:rPr>
        <w:t>要求</w:t>
      </w:r>
      <w:r>
        <w:rPr>
          <w:rFonts w:hint="eastAsia" w:ascii="宋体" w:hAnsi="宋体" w:eastAsia="宋体" w:cs="宋体"/>
        </w:rPr>
        <w:t>。</w:t>
      </w:r>
      <w:bookmarkEnd w:id="295"/>
      <w:bookmarkEnd w:id="296"/>
      <w:bookmarkEnd w:id="297"/>
      <w:bookmarkEnd w:id="298"/>
      <w:bookmarkEnd w:id="299"/>
      <w:bookmarkEnd w:id="300"/>
    </w:p>
    <w:p w14:paraId="69AA4211">
      <w:pPr>
        <w:pStyle w:val="108"/>
        <w:spacing w:before="120" w:after="120"/>
        <w:rPr>
          <w:highlight w:val="none"/>
        </w:rPr>
      </w:pPr>
      <w:bookmarkStart w:id="301" w:name="_Toc11288"/>
      <w:bookmarkStart w:id="302" w:name="_Toc25664"/>
      <w:bookmarkStart w:id="303" w:name="_Toc13763"/>
      <w:bookmarkStart w:id="304" w:name="_Toc5741"/>
      <w:r>
        <w:rPr>
          <w:rFonts w:hint="eastAsia"/>
          <w:color w:val="auto"/>
          <w:highlight w:val="none"/>
          <w:lang w:val="en-US" w:eastAsia="zh-CN"/>
        </w:rPr>
        <w:t>洗压井</w:t>
      </w:r>
      <w:bookmarkEnd w:id="301"/>
      <w:bookmarkEnd w:id="302"/>
      <w:bookmarkEnd w:id="303"/>
      <w:bookmarkEnd w:id="304"/>
    </w:p>
    <w:p w14:paraId="295FF3FA">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color w:val="auto"/>
          <w:sz w:val="21"/>
          <w:highlight w:val="none"/>
          <w:lang w:val="en-US" w:eastAsia="zh-CN" w:bidi="ar-SA"/>
        </w:rPr>
      </w:pPr>
      <w:bookmarkStart w:id="305" w:name="_Toc8588"/>
      <w:bookmarkStart w:id="306" w:name="_Toc746"/>
      <w:bookmarkStart w:id="307" w:name="_Toc2239"/>
      <w:bookmarkStart w:id="308" w:name="_Toc16415"/>
      <w:bookmarkStart w:id="309" w:name="_Toc30278"/>
      <w:bookmarkStart w:id="310" w:name="_Toc23155"/>
      <w:r>
        <w:rPr>
          <w:rFonts w:hint="eastAsia" w:ascii="宋体" w:eastAsia="宋体" w:cs="Times New Roman"/>
          <w:color w:val="auto"/>
          <w:sz w:val="21"/>
          <w:highlight w:val="none"/>
          <w:lang w:val="en-US" w:eastAsia="zh-CN" w:bidi="ar-SA"/>
        </w:rPr>
        <w:t>海上井下作业洗压井管线应用安全链或安全绳固定防脱，滩海陆岸、人工岛井下作业洗压井管汇流程管线应用地锚、沙箱或基墩固定，并按照设计要求对洗压井流程管线进行试压。</w:t>
      </w:r>
      <w:bookmarkEnd w:id="305"/>
      <w:bookmarkEnd w:id="306"/>
      <w:bookmarkEnd w:id="307"/>
      <w:bookmarkEnd w:id="308"/>
      <w:bookmarkEnd w:id="309"/>
      <w:bookmarkEnd w:id="310"/>
    </w:p>
    <w:p w14:paraId="083022B1">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11" w:name="_Toc10421"/>
      <w:bookmarkStart w:id="312" w:name="_Toc11735"/>
      <w:bookmarkStart w:id="313" w:name="_Toc29282"/>
      <w:bookmarkStart w:id="314" w:name="_Toc20393"/>
      <w:bookmarkStart w:id="315" w:name="_Toc29509"/>
      <w:bookmarkStart w:id="316" w:name="_Toc7479"/>
      <w:r>
        <w:rPr>
          <w:rFonts w:hint="eastAsia" w:ascii="宋体" w:eastAsia="宋体" w:cs="Times New Roman"/>
          <w:sz w:val="21"/>
          <w:highlight w:val="none"/>
          <w:lang w:val="en-US" w:eastAsia="zh-CN" w:bidi="ar-SA"/>
        </w:rPr>
        <w:t>洗压井作业施工最高工作压力应不高于最大允许关井套压。</w:t>
      </w:r>
      <w:bookmarkEnd w:id="311"/>
      <w:bookmarkEnd w:id="312"/>
      <w:bookmarkEnd w:id="313"/>
      <w:bookmarkEnd w:id="314"/>
      <w:bookmarkEnd w:id="315"/>
      <w:bookmarkEnd w:id="316"/>
    </w:p>
    <w:p w14:paraId="0710008A">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17" w:name="_Toc17031"/>
      <w:bookmarkStart w:id="318" w:name="_Toc11838"/>
      <w:bookmarkStart w:id="319" w:name="_Toc25170"/>
      <w:bookmarkStart w:id="320" w:name="_Toc4168"/>
      <w:bookmarkStart w:id="321" w:name="_Toc30753"/>
      <w:bookmarkStart w:id="322" w:name="_Toc14084"/>
      <w:r>
        <w:rPr>
          <w:rFonts w:hint="eastAsia" w:ascii="宋体" w:eastAsia="宋体" w:cs="Times New Roman"/>
          <w:sz w:val="21"/>
          <w:highlight w:val="none"/>
          <w:lang w:val="en-US" w:eastAsia="zh-CN" w:bidi="ar-SA"/>
        </w:rPr>
        <w:t>洗压井作业应安排专人观察压力和出口返液情况。</w:t>
      </w:r>
      <w:bookmarkEnd w:id="317"/>
      <w:bookmarkEnd w:id="318"/>
      <w:bookmarkEnd w:id="319"/>
      <w:bookmarkEnd w:id="320"/>
      <w:bookmarkEnd w:id="321"/>
      <w:bookmarkEnd w:id="322"/>
    </w:p>
    <w:p w14:paraId="7397AE1C">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23" w:name="_Toc20183"/>
      <w:bookmarkStart w:id="324" w:name="_Toc32624"/>
      <w:bookmarkStart w:id="325" w:name="_Toc14220"/>
      <w:bookmarkStart w:id="326" w:name="_Toc12465"/>
      <w:bookmarkStart w:id="327" w:name="_Toc1209"/>
      <w:bookmarkStart w:id="328" w:name="_Toc9100"/>
      <w:r>
        <w:rPr>
          <w:rFonts w:hint="eastAsia" w:ascii="宋体" w:eastAsia="宋体" w:cs="Times New Roman"/>
          <w:sz w:val="21"/>
          <w:highlight w:val="none"/>
          <w:lang w:val="en-US" w:eastAsia="zh-CN" w:bidi="ar-SA"/>
        </w:rPr>
        <w:t>循环压井有效体积应不少于1.5倍井筒容积，直至压井液进出口密度差小于0.02 g/cm</w:t>
      </w:r>
      <w:r>
        <w:rPr>
          <w:rFonts w:hint="eastAsia" w:ascii="宋体" w:eastAsia="宋体" w:cs="Times New Roman"/>
          <w:sz w:val="21"/>
          <w:highlight w:val="none"/>
          <w:vertAlign w:val="superscript"/>
          <w:lang w:val="en-US" w:eastAsia="zh-CN" w:bidi="ar-SA"/>
        </w:rPr>
        <w:t>3</w:t>
      </w:r>
      <w:r>
        <w:rPr>
          <w:rFonts w:hint="eastAsia" w:ascii="宋体" w:eastAsia="宋体" w:cs="Times New Roman"/>
          <w:sz w:val="21"/>
          <w:highlight w:val="none"/>
          <w:lang w:val="en-US" w:eastAsia="zh-CN" w:bidi="ar-SA"/>
        </w:rPr>
        <w:t>，性能基本一致，停泵后油、套压力均为零，出口无外溢，再进行下步作业。</w:t>
      </w:r>
      <w:bookmarkEnd w:id="323"/>
      <w:bookmarkEnd w:id="324"/>
      <w:bookmarkEnd w:id="325"/>
      <w:bookmarkEnd w:id="326"/>
      <w:bookmarkEnd w:id="327"/>
      <w:bookmarkEnd w:id="328"/>
    </w:p>
    <w:p w14:paraId="599E6A67">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lang w:val="en-US" w:eastAsia="zh-CN"/>
        </w:rPr>
      </w:pPr>
      <w:bookmarkStart w:id="329" w:name="_Toc5912"/>
      <w:bookmarkStart w:id="330" w:name="_Toc28299"/>
      <w:bookmarkStart w:id="331" w:name="_Toc25718"/>
      <w:bookmarkStart w:id="332" w:name="_Toc24581"/>
      <w:bookmarkStart w:id="333" w:name="_Toc29985"/>
      <w:bookmarkStart w:id="334" w:name="_Toc2203"/>
      <w:r>
        <w:rPr>
          <w:rFonts w:hint="eastAsia" w:ascii="宋体" w:eastAsia="宋体" w:cs="Times New Roman"/>
          <w:sz w:val="21"/>
          <w:highlight w:val="none"/>
          <w:lang w:val="en-US" w:eastAsia="zh-CN" w:bidi="ar-SA"/>
        </w:rPr>
        <w:t>洗压井作业后应连续施工，若长时间等停，恢复施工前应循环洗井或重新压井。</w:t>
      </w:r>
      <w:bookmarkEnd w:id="329"/>
      <w:bookmarkEnd w:id="330"/>
      <w:bookmarkEnd w:id="331"/>
      <w:bookmarkEnd w:id="332"/>
      <w:bookmarkEnd w:id="333"/>
      <w:bookmarkEnd w:id="334"/>
    </w:p>
    <w:p w14:paraId="689467D9">
      <w:pPr>
        <w:pStyle w:val="108"/>
        <w:spacing w:before="120" w:after="120"/>
        <w:rPr>
          <w:highlight w:val="none"/>
        </w:rPr>
      </w:pPr>
      <w:bookmarkStart w:id="335" w:name="_Toc12195"/>
      <w:bookmarkStart w:id="336" w:name="_Toc22257"/>
      <w:bookmarkStart w:id="337" w:name="_Toc2986"/>
      <w:bookmarkStart w:id="338" w:name="_Toc14185"/>
      <w:r>
        <w:rPr>
          <w:rFonts w:hint="eastAsia"/>
          <w:highlight w:val="none"/>
        </w:rPr>
        <w:t>拆装井口</w:t>
      </w:r>
      <w:bookmarkEnd w:id="335"/>
      <w:bookmarkEnd w:id="336"/>
      <w:bookmarkEnd w:id="337"/>
      <w:bookmarkEnd w:id="338"/>
    </w:p>
    <w:p w14:paraId="4BDC2ECC">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39" w:name="_Toc6338"/>
      <w:bookmarkStart w:id="340" w:name="_Toc13357"/>
      <w:bookmarkStart w:id="341" w:name="_Toc11434"/>
      <w:bookmarkStart w:id="342" w:name="_Toc10092"/>
      <w:bookmarkStart w:id="343" w:name="_Toc5433"/>
      <w:bookmarkStart w:id="344" w:name="_Toc20250"/>
      <w:bookmarkStart w:id="345" w:name="_Toc2480"/>
      <w:bookmarkStart w:id="346" w:name="_Toc32474"/>
      <w:bookmarkStart w:id="347" w:name="_Toc20949"/>
      <w:bookmarkStart w:id="348" w:name="_Toc12455"/>
      <w:bookmarkStart w:id="349" w:name="_Toc29969"/>
      <w:bookmarkStart w:id="350" w:name="_Toc13162"/>
      <w:r>
        <w:rPr>
          <w:rFonts w:hint="eastAsia" w:ascii="宋体" w:eastAsia="宋体" w:cs="Times New Roman"/>
          <w:sz w:val="21"/>
          <w:highlight w:val="none"/>
          <w:lang w:val="en-US" w:eastAsia="zh-CN" w:bidi="ar-SA"/>
        </w:rPr>
        <w:t>拆装井口或更换地面井口装置前，应根据井口油、套压情况，分别采取观察、泄压、压井等方式，确保井口压力为零且井筒状态稳定，稳定时间不少于一个换装作业周期；若稳定时间不满足要求，应采用安装背压阀、堵塞器等措施进行隔离，确保密封有效后方可更换井口装置。</w:t>
      </w:r>
      <w:bookmarkEnd w:id="339"/>
      <w:bookmarkEnd w:id="340"/>
      <w:bookmarkEnd w:id="341"/>
      <w:bookmarkEnd w:id="342"/>
      <w:bookmarkEnd w:id="343"/>
      <w:bookmarkEnd w:id="344"/>
    </w:p>
    <w:p w14:paraId="2A74A6A1">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51" w:name="_Toc3746"/>
      <w:bookmarkStart w:id="352" w:name="_Toc26763"/>
      <w:bookmarkStart w:id="353" w:name="_Toc19902"/>
      <w:bookmarkStart w:id="354" w:name="_Toc3698"/>
      <w:bookmarkStart w:id="355" w:name="_Toc1028"/>
      <w:bookmarkStart w:id="356" w:name="_Toc25135"/>
      <w:r>
        <w:rPr>
          <w:rFonts w:hint="eastAsia" w:ascii="宋体" w:eastAsia="宋体" w:cs="Times New Roman"/>
          <w:sz w:val="21"/>
          <w:highlight w:val="none"/>
          <w:lang w:val="en-US" w:eastAsia="zh-CN" w:bidi="ar-SA"/>
        </w:rPr>
        <w:t>采用割焊方法换装井口装置作业前，应取得热工作业许可，制定现场处置方案并落实安全管控措施。</w:t>
      </w:r>
      <w:bookmarkEnd w:id="351"/>
      <w:bookmarkEnd w:id="352"/>
      <w:bookmarkEnd w:id="353"/>
      <w:bookmarkEnd w:id="354"/>
      <w:bookmarkEnd w:id="355"/>
      <w:bookmarkEnd w:id="356"/>
    </w:p>
    <w:p w14:paraId="1646D505">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57" w:name="_Toc2381"/>
      <w:bookmarkStart w:id="358" w:name="_Toc31731"/>
      <w:bookmarkStart w:id="359" w:name="_Toc759"/>
      <w:bookmarkStart w:id="360" w:name="_Toc16470"/>
      <w:bookmarkStart w:id="361" w:name="_Toc5246"/>
      <w:bookmarkStart w:id="362" w:name="_Toc2602"/>
      <w:r>
        <w:rPr>
          <w:rFonts w:hint="eastAsia" w:ascii="宋体" w:eastAsia="宋体" w:cs="Times New Roman"/>
          <w:sz w:val="21"/>
          <w:highlight w:val="none"/>
          <w:lang w:val="en-US" w:eastAsia="zh-CN" w:bidi="ar-SA"/>
        </w:rPr>
        <w:t>采用冷冻井口方式换装井口装置作业前，安装冷冻装备，在井口及井内通道装入冷冻剂；冷冻完成后，按照施工设计压力对冷冻封堵效果进行试压检验，井内无泄漏，方可施工。</w:t>
      </w:r>
      <w:bookmarkEnd w:id="357"/>
      <w:bookmarkEnd w:id="358"/>
      <w:bookmarkEnd w:id="359"/>
      <w:bookmarkEnd w:id="360"/>
      <w:bookmarkEnd w:id="361"/>
      <w:bookmarkEnd w:id="362"/>
    </w:p>
    <w:p w14:paraId="32E78524">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63" w:name="_Toc22379"/>
      <w:bookmarkStart w:id="364" w:name="_Toc23345"/>
      <w:bookmarkStart w:id="365" w:name="_Toc20355"/>
      <w:bookmarkStart w:id="366" w:name="_Toc24917"/>
      <w:bookmarkStart w:id="367" w:name="_Toc28488"/>
      <w:bookmarkStart w:id="368" w:name="_Toc20415"/>
      <w:r>
        <w:rPr>
          <w:rFonts w:hint="eastAsia" w:ascii="宋体" w:eastAsia="宋体" w:cs="Times New Roman"/>
          <w:sz w:val="21"/>
          <w:highlight w:val="none"/>
          <w:lang w:val="en-US" w:eastAsia="zh-CN" w:bidi="ar-SA"/>
        </w:rPr>
        <w:t>在更换井口装置过程中，应监测有毒有害气体浓度，若气体浓度达到安全临界浓度，则启动相应的应急预案。</w:t>
      </w:r>
      <w:bookmarkEnd w:id="363"/>
      <w:bookmarkEnd w:id="364"/>
      <w:bookmarkEnd w:id="365"/>
      <w:bookmarkEnd w:id="366"/>
      <w:bookmarkEnd w:id="367"/>
      <w:bookmarkEnd w:id="368"/>
    </w:p>
    <w:p w14:paraId="75F74227">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69" w:name="_Toc10955"/>
      <w:bookmarkStart w:id="370" w:name="_Toc14111"/>
      <w:bookmarkStart w:id="371" w:name="_Toc17037"/>
      <w:bookmarkStart w:id="372" w:name="_Toc32588"/>
      <w:bookmarkStart w:id="373" w:name="_Toc23417"/>
      <w:bookmarkStart w:id="374" w:name="_Toc15214"/>
      <w:r>
        <w:rPr>
          <w:rFonts w:hint="eastAsia" w:ascii="宋体" w:eastAsia="宋体" w:cs="Times New Roman"/>
          <w:sz w:val="21"/>
          <w:highlight w:val="none"/>
          <w:lang w:val="en-US" w:eastAsia="zh-CN" w:bidi="ar-SA"/>
        </w:rPr>
        <w:t>拆装水下井口装置作业，起下防喷器隔水管应评估天气、海况，选择合适的天气窗口；油管挂解锁前，应对防喷器组及地面管汇按设计要求试压。</w:t>
      </w:r>
      <w:bookmarkEnd w:id="369"/>
      <w:bookmarkEnd w:id="370"/>
      <w:bookmarkEnd w:id="371"/>
      <w:bookmarkEnd w:id="372"/>
      <w:bookmarkEnd w:id="373"/>
      <w:bookmarkEnd w:id="374"/>
    </w:p>
    <w:p w14:paraId="4F3E6822">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375" w:name="_Toc21946"/>
      <w:bookmarkStart w:id="376" w:name="_Toc22812"/>
      <w:bookmarkStart w:id="377" w:name="_Toc30979"/>
      <w:bookmarkStart w:id="378" w:name="_Toc26375"/>
      <w:bookmarkStart w:id="379" w:name="_Toc5663"/>
      <w:bookmarkStart w:id="380" w:name="_Toc11071"/>
      <w:r>
        <w:rPr>
          <w:rFonts w:hint="eastAsia" w:ascii="宋体" w:eastAsia="宋体" w:cs="Times New Roman"/>
          <w:sz w:val="21"/>
          <w:highlight w:val="none"/>
          <w:lang w:val="en-US" w:eastAsia="zh-CN" w:bidi="ar-SA"/>
        </w:rPr>
        <w:t>井口装置更换后，应按井控设计进行压力试验。</w:t>
      </w:r>
      <w:bookmarkEnd w:id="375"/>
      <w:bookmarkEnd w:id="376"/>
      <w:bookmarkEnd w:id="377"/>
      <w:bookmarkEnd w:id="378"/>
      <w:bookmarkEnd w:id="379"/>
      <w:bookmarkEnd w:id="380"/>
    </w:p>
    <w:bookmarkEnd w:id="345"/>
    <w:bookmarkEnd w:id="346"/>
    <w:bookmarkEnd w:id="347"/>
    <w:bookmarkEnd w:id="348"/>
    <w:bookmarkEnd w:id="349"/>
    <w:bookmarkEnd w:id="350"/>
    <w:p w14:paraId="0240890A">
      <w:pPr>
        <w:pStyle w:val="108"/>
        <w:spacing w:before="120" w:after="120"/>
      </w:pPr>
      <w:bookmarkStart w:id="381" w:name="_Toc12585"/>
      <w:bookmarkStart w:id="382" w:name="_Toc17240"/>
      <w:bookmarkStart w:id="383" w:name="_Toc23701"/>
      <w:bookmarkStart w:id="384" w:name="_Toc14906"/>
      <w:r>
        <w:rPr>
          <w:rFonts w:hint="eastAsia"/>
        </w:rPr>
        <w:t>起下管柱</w:t>
      </w:r>
      <w:bookmarkEnd w:id="381"/>
      <w:bookmarkEnd w:id="382"/>
      <w:bookmarkEnd w:id="383"/>
      <w:bookmarkEnd w:id="384"/>
    </w:p>
    <w:p w14:paraId="1C211F80">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385" w:name="_Toc24622"/>
      <w:bookmarkStart w:id="386" w:name="_Toc27728"/>
      <w:bookmarkStart w:id="387" w:name="_Toc7449"/>
      <w:bookmarkStart w:id="388" w:name="_Toc28147"/>
      <w:bookmarkStart w:id="389" w:name="_Toc3901"/>
      <w:bookmarkStart w:id="390" w:name="_Toc4540"/>
      <w:bookmarkStart w:id="391" w:name="_Toc17785"/>
      <w:bookmarkStart w:id="392" w:name="_Toc21497"/>
      <w:bookmarkStart w:id="393" w:name="_Toc6187"/>
      <w:r>
        <w:rPr>
          <w:rFonts w:hint="eastAsia" w:ascii="宋体" w:eastAsia="宋体" w:cs="Times New Roman"/>
          <w:sz w:val="21"/>
          <w:lang w:val="en-US" w:eastAsia="zh-CN" w:bidi="ar-SA"/>
        </w:rPr>
        <w:t>作业前应按井控设计要求安装井控装置。</w:t>
      </w:r>
      <w:bookmarkEnd w:id="385"/>
      <w:bookmarkEnd w:id="386"/>
      <w:bookmarkEnd w:id="387"/>
      <w:bookmarkEnd w:id="388"/>
      <w:bookmarkEnd w:id="389"/>
      <w:bookmarkEnd w:id="390"/>
    </w:p>
    <w:p w14:paraId="0563A877">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394" w:name="_Toc16931"/>
      <w:bookmarkStart w:id="395" w:name="_Toc5546"/>
      <w:bookmarkStart w:id="396" w:name="_Toc32317"/>
      <w:bookmarkStart w:id="397" w:name="_Toc14519"/>
      <w:bookmarkStart w:id="398" w:name="_Toc6483"/>
      <w:bookmarkStart w:id="399" w:name="_Toc13791"/>
      <w:r>
        <w:rPr>
          <w:rFonts w:hint="eastAsia" w:ascii="宋体" w:eastAsia="宋体" w:cs="Times New Roman"/>
          <w:sz w:val="21"/>
          <w:lang w:val="en-US" w:eastAsia="zh-CN" w:bidi="ar-SA"/>
        </w:rPr>
        <w:t>起下外挂电缆或管线管柱前，应准备好应急剪断工具。</w:t>
      </w:r>
      <w:bookmarkEnd w:id="394"/>
      <w:bookmarkEnd w:id="395"/>
      <w:bookmarkEnd w:id="396"/>
      <w:bookmarkEnd w:id="397"/>
      <w:bookmarkEnd w:id="398"/>
      <w:bookmarkEnd w:id="399"/>
    </w:p>
    <w:p w14:paraId="3BA5077D">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400" w:name="_Toc21173"/>
      <w:bookmarkStart w:id="401" w:name="_Toc15669"/>
      <w:bookmarkStart w:id="402" w:name="_Toc2396"/>
      <w:bookmarkStart w:id="403" w:name="_Toc30999"/>
      <w:bookmarkStart w:id="404" w:name="_Toc8099"/>
      <w:bookmarkStart w:id="405" w:name="_Toc17662"/>
      <w:r>
        <w:rPr>
          <w:rFonts w:hint="eastAsia" w:ascii="宋体" w:eastAsia="宋体" w:cs="Times New Roman"/>
          <w:sz w:val="21"/>
          <w:highlight w:val="none"/>
          <w:lang w:val="en-US" w:eastAsia="zh-CN" w:bidi="ar-SA"/>
        </w:rPr>
        <w:t>起下封隔器等大直径工具时应密切监测悬重及井口液面；在油气层井段及顶部以上300 m内和大斜度、水平段等位置应控制起下钻速度。</w:t>
      </w:r>
      <w:bookmarkEnd w:id="400"/>
      <w:bookmarkEnd w:id="401"/>
      <w:bookmarkEnd w:id="402"/>
      <w:bookmarkEnd w:id="403"/>
      <w:bookmarkEnd w:id="404"/>
      <w:bookmarkEnd w:id="405"/>
    </w:p>
    <w:p w14:paraId="6930A407">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406" w:name="_Toc30730"/>
      <w:bookmarkStart w:id="407" w:name="_Toc27575"/>
      <w:bookmarkStart w:id="408" w:name="_Toc18557"/>
      <w:bookmarkStart w:id="409" w:name="_Toc8427"/>
      <w:bookmarkStart w:id="410" w:name="_Toc10417"/>
      <w:bookmarkStart w:id="411" w:name="_Toc5985"/>
      <w:r>
        <w:rPr>
          <w:rFonts w:hint="eastAsia" w:ascii="宋体" w:eastAsia="宋体" w:cs="Times New Roman"/>
          <w:sz w:val="21"/>
          <w:highlight w:val="none"/>
          <w:lang w:val="en-US" w:eastAsia="zh-CN" w:bidi="ar-SA"/>
        </w:rPr>
        <w:t>起下管柱过程中应按照设计要求灌液，灌入量以井筒液柱压力能平衡作业层位最高压力为原则；应记录并核实灌入液和返出液情况。</w:t>
      </w:r>
      <w:bookmarkEnd w:id="406"/>
      <w:bookmarkEnd w:id="407"/>
      <w:bookmarkEnd w:id="408"/>
      <w:bookmarkEnd w:id="409"/>
      <w:bookmarkEnd w:id="410"/>
      <w:bookmarkEnd w:id="411"/>
    </w:p>
    <w:p w14:paraId="4734CA69">
      <w:pPr>
        <w:pStyle w:val="69"/>
        <w:numPr>
          <w:ilvl w:val="3"/>
          <w:numId w:val="2"/>
        </w:numPr>
        <w:spacing w:before="0" w:beforeLines="0" w:after="0" w:afterLines="0"/>
        <w:rPr>
          <w:rFonts w:hint="eastAsia" w:ascii="宋体" w:hAnsi="宋体" w:eastAsia="宋体" w:cs="宋体"/>
          <w:strike w:val="0"/>
          <w:dstrike w:val="0"/>
          <w:highlight w:val="none"/>
        </w:rPr>
      </w:pPr>
      <w:bookmarkStart w:id="412" w:name="_Toc6112"/>
      <w:bookmarkStart w:id="413" w:name="_Toc7393"/>
      <w:bookmarkStart w:id="414" w:name="_Toc20127"/>
      <w:bookmarkStart w:id="415" w:name="_Toc2714"/>
      <w:bookmarkStart w:id="416" w:name="_Toc15768"/>
      <w:bookmarkStart w:id="417" w:name="_Toc26847"/>
      <w:r>
        <w:rPr>
          <w:rFonts w:hint="eastAsia" w:ascii="宋体" w:hAnsi="宋体" w:eastAsia="宋体" w:cs="宋体"/>
          <w:strike w:val="0"/>
          <w:dstrike w:val="0"/>
          <w:highlight w:val="none"/>
        </w:rPr>
        <w:t>冲砂作业冲开被埋的油气水层时，应监测</w:t>
      </w:r>
      <w:r>
        <w:rPr>
          <w:rFonts w:hint="eastAsia" w:ascii="宋体" w:hAnsi="宋体" w:eastAsia="宋体" w:cs="宋体"/>
          <w:strike w:val="0"/>
          <w:dstrike w:val="0"/>
          <w:highlight w:val="none"/>
          <w:lang w:val="en-US" w:eastAsia="zh-CN"/>
        </w:rPr>
        <w:t>进</w:t>
      </w:r>
      <w:r>
        <w:rPr>
          <w:rFonts w:hint="eastAsia" w:ascii="宋体" w:hAnsi="宋体" w:eastAsia="宋体" w:cs="宋体"/>
          <w:strike w:val="0"/>
          <w:dstrike w:val="0"/>
          <w:highlight w:val="none"/>
        </w:rPr>
        <w:t>出口排量，当发现不一致应上提管柱、保持循环、分析原因。</w:t>
      </w:r>
      <w:bookmarkEnd w:id="412"/>
      <w:bookmarkEnd w:id="413"/>
      <w:bookmarkEnd w:id="414"/>
      <w:bookmarkEnd w:id="415"/>
      <w:bookmarkEnd w:id="416"/>
      <w:bookmarkEnd w:id="417"/>
    </w:p>
    <w:p w14:paraId="476F0D12">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18" w:name="_Toc12597"/>
      <w:bookmarkStart w:id="419" w:name="_Toc25997"/>
      <w:bookmarkStart w:id="420" w:name="_Toc31846"/>
      <w:bookmarkStart w:id="421" w:name="_Toc31219"/>
      <w:bookmarkStart w:id="422" w:name="_Toc26045"/>
      <w:bookmarkStart w:id="423" w:name="_Toc9749"/>
      <w:r>
        <w:rPr>
          <w:rFonts w:hint="eastAsia" w:ascii="宋体" w:eastAsia="宋体" w:cs="Times New Roman"/>
          <w:sz w:val="21"/>
          <w:lang w:val="en-US" w:eastAsia="zh-CN" w:bidi="ar-SA"/>
        </w:rPr>
        <w:t>作业等停期间应下入不少于作业层位井深三分之一的临时管柱。</w:t>
      </w:r>
      <w:bookmarkEnd w:id="418"/>
      <w:bookmarkEnd w:id="419"/>
      <w:bookmarkEnd w:id="420"/>
      <w:bookmarkEnd w:id="421"/>
      <w:bookmarkEnd w:id="422"/>
      <w:bookmarkEnd w:id="423"/>
    </w:p>
    <w:bookmarkEnd w:id="391"/>
    <w:bookmarkEnd w:id="392"/>
    <w:bookmarkEnd w:id="393"/>
    <w:p w14:paraId="073335E3">
      <w:pPr>
        <w:pStyle w:val="108"/>
        <w:spacing w:before="120" w:after="120"/>
        <w:rPr>
          <w:highlight w:val="none"/>
        </w:rPr>
      </w:pPr>
      <w:bookmarkStart w:id="424" w:name="_Toc1174"/>
      <w:bookmarkStart w:id="425" w:name="_Toc20204"/>
      <w:bookmarkStart w:id="426" w:name="_Toc10368"/>
      <w:bookmarkStart w:id="427" w:name="_Toc16805"/>
      <w:r>
        <w:rPr>
          <w:rFonts w:hint="eastAsia"/>
          <w:highlight w:val="none"/>
        </w:rPr>
        <w:t>套铣</w:t>
      </w:r>
      <w:r>
        <w:rPr>
          <w:rFonts w:hint="eastAsia"/>
          <w:highlight w:val="none"/>
          <w:lang w:val="en-US" w:eastAsia="zh-CN"/>
        </w:rPr>
        <w:t>/</w:t>
      </w:r>
      <w:r>
        <w:rPr>
          <w:rFonts w:hint="eastAsia"/>
          <w:highlight w:val="none"/>
        </w:rPr>
        <w:t>磨铣</w:t>
      </w:r>
      <w:bookmarkEnd w:id="424"/>
      <w:bookmarkEnd w:id="425"/>
      <w:bookmarkEnd w:id="426"/>
      <w:bookmarkEnd w:id="427"/>
    </w:p>
    <w:p w14:paraId="52F32468">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28" w:name="_Toc28971"/>
      <w:bookmarkStart w:id="429" w:name="_Toc13411"/>
      <w:bookmarkStart w:id="430" w:name="_Toc25142"/>
      <w:bookmarkStart w:id="431" w:name="_Toc4563"/>
      <w:bookmarkStart w:id="432" w:name="_Toc10141"/>
      <w:bookmarkStart w:id="433" w:name="_Toc565"/>
      <w:bookmarkStart w:id="434" w:name="_Toc3119"/>
      <w:bookmarkStart w:id="435" w:name="_Toc10103"/>
      <w:r>
        <w:rPr>
          <w:rFonts w:hint="eastAsia" w:ascii="宋体" w:eastAsia="宋体" w:cs="Times New Roman"/>
          <w:sz w:val="21"/>
          <w:lang w:val="en-US" w:eastAsia="zh-CN" w:bidi="ar-SA"/>
        </w:rPr>
        <w:t>打开封堵层位前，应确保上部静液柱压力能平衡下部圈闭压力。</w:t>
      </w:r>
      <w:bookmarkEnd w:id="428"/>
      <w:bookmarkEnd w:id="429"/>
      <w:bookmarkEnd w:id="430"/>
      <w:bookmarkEnd w:id="431"/>
      <w:bookmarkEnd w:id="432"/>
      <w:bookmarkEnd w:id="433"/>
    </w:p>
    <w:p w14:paraId="46D6B74F">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436" w:name="_Toc182"/>
      <w:bookmarkStart w:id="437" w:name="_Toc8382"/>
      <w:bookmarkStart w:id="438" w:name="_Toc26815"/>
      <w:bookmarkStart w:id="439" w:name="_Toc8562"/>
      <w:bookmarkStart w:id="440" w:name="_Toc5461"/>
      <w:bookmarkStart w:id="441" w:name="_Toc21366"/>
      <w:r>
        <w:rPr>
          <w:rFonts w:hint="eastAsia" w:ascii="宋体" w:eastAsia="宋体" w:cs="Times New Roman"/>
          <w:sz w:val="21"/>
          <w:lang w:val="en-US" w:eastAsia="zh-CN" w:bidi="ar-SA"/>
        </w:rPr>
        <w:t>作业前应确保井眼通畅；作业过程中，应适时调整修井液性能，满足携带铣屑的能力，并</w:t>
      </w:r>
      <w:r>
        <w:rPr>
          <w:rFonts w:hint="eastAsia" w:ascii="宋体" w:eastAsia="宋体" w:cs="Times New Roman"/>
          <w:sz w:val="21"/>
          <w:highlight w:val="none"/>
          <w:lang w:val="en-US" w:eastAsia="zh-CN" w:bidi="ar-SA"/>
        </w:rPr>
        <w:t>保持闭路循环。</w:t>
      </w:r>
      <w:bookmarkEnd w:id="436"/>
      <w:bookmarkEnd w:id="437"/>
      <w:bookmarkEnd w:id="438"/>
      <w:bookmarkEnd w:id="439"/>
      <w:bookmarkEnd w:id="440"/>
      <w:bookmarkEnd w:id="441"/>
    </w:p>
    <w:p w14:paraId="5C5C094F">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highlight w:val="none"/>
          <w:lang w:val="en-US" w:eastAsia="zh-CN" w:bidi="ar-SA"/>
        </w:rPr>
      </w:pPr>
      <w:bookmarkStart w:id="442" w:name="_Toc24117"/>
      <w:bookmarkStart w:id="443" w:name="_Toc11061"/>
      <w:bookmarkStart w:id="444" w:name="_Toc11924"/>
      <w:bookmarkStart w:id="445" w:name="_Toc12584"/>
      <w:bookmarkStart w:id="446" w:name="_Toc13608"/>
      <w:bookmarkStart w:id="447" w:name="_Toc8667"/>
      <w:r>
        <w:rPr>
          <w:rFonts w:hint="eastAsia" w:ascii="宋体" w:eastAsia="宋体" w:cs="Times New Roman"/>
          <w:sz w:val="21"/>
          <w:highlight w:val="none"/>
          <w:lang w:val="en-US" w:eastAsia="zh-CN" w:bidi="ar-SA"/>
        </w:rPr>
        <w:t>施工过程中，应监测泵压、进出口排量、循环池（罐）液面、悬重和扭矩等变化情况，并做好记录，出现异常情况应按照应急预案处理。</w:t>
      </w:r>
      <w:bookmarkEnd w:id="442"/>
      <w:bookmarkEnd w:id="443"/>
      <w:bookmarkEnd w:id="444"/>
      <w:bookmarkEnd w:id="445"/>
      <w:bookmarkEnd w:id="446"/>
      <w:bookmarkEnd w:id="447"/>
    </w:p>
    <w:p w14:paraId="621BD4AC">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default" w:ascii="宋体" w:hAnsi="Times New Roman" w:eastAsia="宋体" w:cs="Times New Roman"/>
          <w:sz w:val="21"/>
          <w:highlight w:val="none"/>
          <w:lang w:val="en-US" w:eastAsia="zh-CN" w:bidi="ar-SA"/>
        </w:rPr>
      </w:pPr>
      <w:bookmarkStart w:id="448" w:name="_Toc15050"/>
      <w:bookmarkStart w:id="449" w:name="_Toc20016"/>
      <w:bookmarkStart w:id="450" w:name="_Toc15434"/>
      <w:bookmarkStart w:id="451" w:name="_Toc23267"/>
      <w:r>
        <w:rPr>
          <w:rFonts w:hint="default" w:ascii="宋体" w:hAnsi="Times New Roman" w:eastAsia="宋体" w:cs="Times New Roman"/>
          <w:sz w:val="21"/>
          <w:highlight w:val="none"/>
          <w:lang w:val="en-US" w:eastAsia="zh-CN" w:bidi="ar-SA"/>
        </w:rPr>
        <w:t>起管柱前，循环压井液应不少于</w:t>
      </w:r>
      <w:r>
        <w:rPr>
          <w:rFonts w:hint="eastAsia" w:ascii="宋体" w:hAnsi="Times New Roman" w:eastAsia="宋体" w:cs="Times New Roman"/>
          <w:sz w:val="21"/>
          <w:highlight w:val="none"/>
          <w:lang w:val="en-US" w:eastAsia="zh-CN" w:bidi="ar-SA"/>
        </w:rPr>
        <w:t>一周半，且进出口密度差不大于0.02</w:t>
      </w:r>
      <w:r>
        <w:rPr>
          <w:rFonts w:hint="eastAsia" w:ascii="宋体" w:eastAsia="宋体" w:cs="Times New Roman"/>
          <w:sz w:val="21"/>
          <w:highlight w:val="none"/>
          <w:lang w:val="en-US" w:eastAsia="zh-CN" w:bidi="ar-SA"/>
        </w:rPr>
        <w:t xml:space="preserve"> </w:t>
      </w:r>
      <w:r>
        <w:rPr>
          <w:rFonts w:hint="eastAsia" w:ascii="宋体" w:hAnsi="Times New Roman" w:eastAsia="宋体" w:cs="Times New Roman"/>
          <w:sz w:val="21"/>
          <w:highlight w:val="none"/>
          <w:lang w:val="en-US" w:eastAsia="zh-CN" w:bidi="ar-SA"/>
        </w:rPr>
        <w:t>g/cm³</w:t>
      </w:r>
      <w:r>
        <w:rPr>
          <w:rFonts w:hint="default" w:ascii="宋体" w:hAnsi="Times New Roman" w:eastAsia="宋体" w:cs="Times New Roman"/>
          <w:sz w:val="21"/>
          <w:highlight w:val="none"/>
          <w:lang w:val="en-US" w:eastAsia="zh-CN" w:bidi="ar-SA"/>
        </w:rPr>
        <w:t>。</w:t>
      </w:r>
      <w:bookmarkEnd w:id="448"/>
      <w:bookmarkEnd w:id="449"/>
      <w:bookmarkEnd w:id="450"/>
      <w:bookmarkEnd w:id="451"/>
    </w:p>
    <w:bookmarkEnd w:id="434"/>
    <w:bookmarkEnd w:id="435"/>
    <w:p w14:paraId="1373F6DD">
      <w:pPr>
        <w:pStyle w:val="108"/>
        <w:spacing w:before="120" w:after="120"/>
        <w:rPr>
          <w:color w:val="auto"/>
          <w:highlight w:val="none"/>
        </w:rPr>
      </w:pPr>
      <w:bookmarkStart w:id="452" w:name="_Toc20654"/>
      <w:bookmarkStart w:id="453" w:name="_Toc9633"/>
      <w:bookmarkStart w:id="454" w:name="_Toc2734"/>
      <w:bookmarkStart w:id="455" w:name="_Toc9331"/>
      <w:r>
        <w:rPr>
          <w:rFonts w:hint="eastAsia"/>
          <w:color w:val="auto"/>
          <w:highlight w:val="none"/>
        </w:rPr>
        <w:t>解卡打捞</w:t>
      </w:r>
      <w:bookmarkEnd w:id="452"/>
      <w:bookmarkEnd w:id="453"/>
      <w:bookmarkEnd w:id="454"/>
      <w:bookmarkEnd w:id="455"/>
    </w:p>
    <w:p w14:paraId="07B3A826">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56" w:name="_Toc5346"/>
      <w:bookmarkStart w:id="457" w:name="_Toc21168"/>
      <w:bookmarkStart w:id="458" w:name="_Toc684"/>
      <w:bookmarkStart w:id="459" w:name="_Toc12494"/>
      <w:bookmarkStart w:id="460" w:name="_Toc17632"/>
      <w:bookmarkStart w:id="461" w:name="_Toc21303"/>
      <w:r>
        <w:rPr>
          <w:rFonts w:hint="eastAsia" w:ascii="宋体" w:eastAsia="宋体" w:cs="Times New Roman"/>
          <w:sz w:val="21"/>
          <w:highlight w:val="none"/>
          <w:lang w:val="en-US" w:eastAsia="zh-CN" w:bidi="ar-SA"/>
        </w:rPr>
        <w:t>震击解卡作业前，应对地面设备、井口工具、用具等采取紧固措施，做好</w:t>
      </w:r>
      <w:r>
        <w:rPr>
          <w:rFonts w:hint="eastAsia" w:ascii="宋体" w:eastAsia="宋体" w:cs="Times New Roman"/>
          <w:sz w:val="21"/>
          <w:lang w:val="en-US" w:eastAsia="zh-CN" w:bidi="ar-SA"/>
        </w:rPr>
        <w:t>安全防护工作。</w:t>
      </w:r>
      <w:bookmarkEnd w:id="456"/>
      <w:bookmarkEnd w:id="457"/>
      <w:bookmarkEnd w:id="458"/>
      <w:bookmarkEnd w:id="459"/>
      <w:bookmarkEnd w:id="460"/>
      <w:bookmarkEnd w:id="461"/>
    </w:p>
    <w:p w14:paraId="128B1421">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62" w:name="_Toc21219"/>
      <w:bookmarkStart w:id="463" w:name="_Toc20753"/>
      <w:bookmarkStart w:id="464" w:name="_Toc17759"/>
      <w:bookmarkStart w:id="465" w:name="_Toc16057"/>
      <w:bookmarkStart w:id="466" w:name="_Toc992"/>
      <w:bookmarkStart w:id="467" w:name="_Toc31564"/>
      <w:r>
        <w:rPr>
          <w:rFonts w:hint="eastAsia" w:ascii="宋体" w:eastAsia="宋体" w:cs="Times New Roman"/>
          <w:sz w:val="21"/>
          <w:lang w:val="en-US" w:eastAsia="zh-CN" w:bidi="ar-SA"/>
        </w:rPr>
        <w:t>打捞管柱组合应满足作业和井控措施需求。</w:t>
      </w:r>
      <w:bookmarkEnd w:id="462"/>
      <w:bookmarkEnd w:id="463"/>
      <w:bookmarkEnd w:id="464"/>
      <w:bookmarkEnd w:id="465"/>
      <w:bookmarkEnd w:id="466"/>
      <w:bookmarkEnd w:id="467"/>
    </w:p>
    <w:p w14:paraId="41AB5003">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68" w:name="_Toc6041"/>
      <w:bookmarkStart w:id="469" w:name="_Toc2139"/>
      <w:bookmarkStart w:id="470" w:name="_Toc5889"/>
      <w:bookmarkStart w:id="471" w:name="_Toc17357"/>
      <w:bookmarkStart w:id="472" w:name="_Toc6769"/>
      <w:bookmarkStart w:id="473" w:name="_Toc25383"/>
      <w:r>
        <w:rPr>
          <w:rFonts w:hint="eastAsia" w:ascii="宋体" w:eastAsia="宋体" w:cs="Times New Roman"/>
          <w:sz w:val="21"/>
          <w:lang w:val="en-US" w:eastAsia="zh-CN" w:bidi="ar-SA"/>
        </w:rPr>
        <w:t>活动解卡作业过程中，最大上提负荷不应超过井内管柱和工具抗拉强度的80%。</w:t>
      </w:r>
      <w:bookmarkEnd w:id="468"/>
      <w:bookmarkEnd w:id="469"/>
      <w:bookmarkEnd w:id="470"/>
      <w:bookmarkEnd w:id="471"/>
      <w:bookmarkEnd w:id="472"/>
      <w:bookmarkEnd w:id="473"/>
    </w:p>
    <w:p w14:paraId="27082286">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74" w:name="_Toc17286"/>
      <w:bookmarkStart w:id="475" w:name="_Toc32639"/>
      <w:bookmarkStart w:id="476" w:name="_Toc23416"/>
      <w:bookmarkStart w:id="477" w:name="_Toc7914"/>
      <w:bookmarkStart w:id="478" w:name="_Toc31202"/>
      <w:bookmarkStart w:id="479" w:name="_Toc21760"/>
      <w:r>
        <w:rPr>
          <w:rFonts w:hint="eastAsia" w:ascii="宋体" w:eastAsia="宋体" w:cs="Times New Roman"/>
          <w:sz w:val="21"/>
          <w:lang w:val="en-US" w:eastAsia="zh-CN" w:bidi="ar-SA"/>
        </w:rPr>
        <w:t>解卡打捞作业过程中，除操作人员外其他人员应撤离到安全区域。</w:t>
      </w:r>
      <w:bookmarkEnd w:id="474"/>
      <w:bookmarkEnd w:id="475"/>
      <w:bookmarkEnd w:id="476"/>
      <w:bookmarkEnd w:id="477"/>
      <w:bookmarkEnd w:id="478"/>
      <w:bookmarkEnd w:id="479"/>
    </w:p>
    <w:p w14:paraId="22B52633">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80" w:name="_Toc7737"/>
      <w:bookmarkStart w:id="481" w:name="_Toc29705"/>
      <w:bookmarkStart w:id="482" w:name="_Toc27876"/>
      <w:bookmarkStart w:id="483" w:name="_Toc26454"/>
      <w:bookmarkStart w:id="484" w:name="_Toc27851"/>
      <w:bookmarkStart w:id="485" w:name="_Toc31657"/>
      <w:r>
        <w:rPr>
          <w:rFonts w:hint="eastAsia" w:ascii="宋体" w:eastAsia="宋体" w:cs="Times New Roman"/>
          <w:sz w:val="21"/>
          <w:lang w:val="en-US" w:eastAsia="zh-CN" w:bidi="ar-SA"/>
        </w:rPr>
        <w:t>解卡打捞成功后，上提管柱到合适位置观察，井口无溢流方可进行下步作业。</w:t>
      </w:r>
      <w:bookmarkEnd w:id="480"/>
      <w:bookmarkEnd w:id="481"/>
      <w:bookmarkEnd w:id="482"/>
      <w:bookmarkEnd w:id="483"/>
      <w:bookmarkEnd w:id="484"/>
      <w:bookmarkEnd w:id="485"/>
    </w:p>
    <w:p w14:paraId="7DBA5708">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ascii="宋体" w:hAnsi="Times New Roman" w:eastAsia="宋体" w:cs="Times New Roman"/>
          <w:color w:val="000000" w:themeColor="text1"/>
          <w14:textFill>
            <w14:solidFill>
              <w14:schemeClr w14:val="tx1"/>
            </w14:solidFill>
          </w14:textFill>
        </w:rPr>
      </w:pPr>
      <w:bookmarkStart w:id="486" w:name="_Toc13248"/>
      <w:bookmarkStart w:id="487" w:name="_Toc28475"/>
      <w:bookmarkStart w:id="488" w:name="_Toc23003"/>
      <w:bookmarkStart w:id="489" w:name="_Toc26869"/>
      <w:bookmarkStart w:id="490" w:name="_Toc6176"/>
      <w:bookmarkStart w:id="491" w:name="_Toc9291"/>
      <w:r>
        <w:rPr>
          <w:rFonts w:hint="eastAsia" w:ascii="宋体" w:eastAsia="宋体" w:cs="Times New Roman"/>
          <w:sz w:val="21"/>
          <w:lang w:val="en-US" w:eastAsia="zh-CN" w:bidi="ar-SA"/>
        </w:rPr>
        <w:t>打捞大直径工具上提管柱时，应控制起钻速度。</w:t>
      </w:r>
      <w:bookmarkEnd w:id="486"/>
      <w:bookmarkEnd w:id="487"/>
      <w:bookmarkEnd w:id="488"/>
      <w:bookmarkEnd w:id="489"/>
      <w:bookmarkEnd w:id="490"/>
      <w:bookmarkEnd w:id="491"/>
    </w:p>
    <w:p w14:paraId="2728597B">
      <w:pPr>
        <w:pStyle w:val="108"/>
        <w:spacing w:before="120" w:after="120"/>
      </w:pPr>
      <w:bookmarkStart w:id="492" w:name="_Toc26818"/>
      <w:bookmarkStart w:id="493" w:name="_Toc13744"/>
      <w:bookmarkStart w:id="494" w:name="_Toc28699"/>
      <w:bookmarkStart w:id="495" w:name="_Toc30451"/>
      <w:r>
        <w:rPr>
          <w:rFonts w:hint="eastAsia"/>
        </w:rPr>
        <w:t>酸化/压裂</w:t>
      </w:r>
      <w:bookmarkEnd w:id="492"/>
      <w:bookmarkEnd w:id="493"/>
      <w:bookmarkEnd w:id="494"/>
      <w:bookmarkEnd w:id="495"/>
    </w:p>
    <w:p w14:paraId="7B4D6EC4">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496" w:name="_Toc1112"/>
      <w:bookmarkStart w:id="497" w:name="_Toc27091"/>
      <w:bookmarkStart w:id="498" w:name="_Toc13273"/>
      <w:bookmarkStart w:id="499" w:name="_Toc9301"/>
      <w:bookmarkStart w:id="500" w:name="_Toc15984"/>
      <w:bookmarkStart w:id="501" w:name="_Toc18636"/>
      <w:bookmarkStart w:id="502" w:name="_Toc29188"/>
      <w:bookmarkStart w:id="503" w:name="_Toc22918"/>
      <w:bookmarkStart w:id="504" w:name="_Toc8785"/>
      <w:bookmarkStart w:id="505" w:name="_Toc22773"/>
      <w:bookmarkStart w:id="506" w:name="_Toc12600"/>
      <w:bookmarkStart w:id="507" w:name="_Toc19339"/>
      <w:bookmarkStart w:id="508" w:name="_Toc25400"/>
      <w:bookmarkStart w:id="509" w:name="_Toc1791"/>
      <w:bookmarkStart w:id="510" w:name="_Toc4920"/>
      <w:bookmarkStart w:id="511" w:name="_Toc13723"/>
      <w:bookmarkStart w:id="512" w:name="_Toc24524"/>
      <w:bookmarkStart w:id="513" w:name="_Toc193438332"/>
      <w:bookmarkStart w:id="514" w:name="_Toc29821"/>
      <w:r>
        <w:rPr>
          <w:rFonts w:hint="eastAsia" w:ascii="宋体" w:eastAsia="宋体" w:cs="Times New Roman"/>
          <w:sz w:val="21"/>
          <w:lang w:val="en-US" w:eastAsia="zh-CN" w:bidi="ar-SA"/>
        </w:rPr>
        <w:t>压裂作业应明确最高施工压力和最大允许关井套压，开展邻井连通情况及压窜风险排查，并制定应对措施。</w:t>
      </w:r>
      <w:bookmarkEnd w:id="496"/>
      <w:bookmarkEnd w:id="497"/>
      <w:bookmarkEnd w:id="498"/>
      <w:bookmarkEnd w:id="499"/>
      <w:bookmarkEnd w:id="500"/>
      <w:bookmarkEnd w:id="501"/>
    </w:p>
    <w:p w14:paraId="355A90BA">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15" w:name="_Toc10799"/>
      <w:bookmarkStart w:id="516" w:name="_Toc25050"/>
      <w:bookmarkStart w:id="517" w:name="_Toc8816"/>
      <w:bookmarkStart w:id="518" w:name="_Toc5482"/>
      <w:bookmarkStart w:id="519" w:name="_Toc4184"/>
      <w:bookmarkStart w:id="520" w:name="_Toc16516"/>
      <w:r>
        <w:rPr>
          <w:rFonts w:hint="eastAsia" w:ascii="宋体" w:eastAsia="宋体" w:cs="Times New Roman"/>
          <w:sz w:val="21"/>
          <w:lang w:val="en-US" w:eastAsia="zh-CN" w:bidi="ar-SA"/>
        </w:rPr>
        <w:t>酸化/压裂作业作业前应对高压区域进行隔离并设置警示标志，非作业人员应远离高压区。</w:t>
      </w:r>
      <w:bookmarkEnd w:id="515"/>
      <w:bookmarkEnd w:id="516"/>
      <w:bookmarkEnd w:id="517"/>
      <w:bookmarkEnd w:id="518"/>
      <w:bookmarkEnd w:id="519"/>
      <w:bookmarkEnd w:id="520"/>
    </w:p>
    <w:p w14:paraId="74C42080">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21" w:name="_Toc27535"/>
      <w:bookmarkStart w:id="522" w:name="_Toc13064"/>
      <w:bookmarkStart w:id="523" w:name="_Toc27051"/>
      <w:bookmarkStart w:id="524" w:name="_Toc17880"/>
      <w:bookmarkStart w:id="525" w:name="_Toc4271"/>
      <w:bookmarkStart w:id="526" w:name="_Toc30493"/>
      <w:r>
        <w:rPr>
          <w:rFonts w:hint="eastAsia" w:ascii="宋体" w:eastAsia="宋体" w:cs="Times New Roman"/>
          <w:sz w:val="21"/>
          <w:lang w:val="en-US" w:eastAsia="zh-CN" w:bidi="ar-SA"/>
        </w:rPr>
        <w:t>应按作业设计要求连接管汇流程，高压管线应安装安全链或其他防护措施，并试压合格。</w:t>
      </w:r>
      <w:bookmarkEnd w:id="521"/>
      <w:bookmarkEnd w:id="522"/>
      <w:bookmarkEnd w:id="523"/>
      <w:bookmarkEnd w:id="524"/>
      <w:bookmarkEnd w:id="525"/>
      <w:bookmarkEnd w:id="526"/>
    </w:p>
    <w:p w14:paraId="03728EB5">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27" w:name="_Toc9654"/>
      <w:bookmarkStart w:id="528" w:name="_Toc2652"/>
      <w:bookmarkStart w:id="529" w:name="_Toc28307"/>
      <w:bookmarkStart w:id="530" w:name="_Toc20302"/>
      <w:bookmarkStart w:id="531" w:name="_Toc12155"/>
      <w:bookmarkStart w:id="532" w:name="_Toc6179"/>
      <w:r>
        <w:rPr>
          <w:rFonts w:hint="eastAsia" w:ascii="宋体" w:eastAsia="宋体" w:cs="Times New Roman"/>
          <w:sz w:val="21"/>
          <w:lang w:val="en-US" w:eastAsia="zh-CN" w:bidi="ar-SA"/>
        </w:rPr>
        <w:t>酸化/压裂作业期间，应监测本井及邻井压力情况，发现异常情况及时采取降低排量、停泵等措施；排液过程中应对出口进行可燃气体和有毒有害气体监测，并采取有效措施防止有毒有害气体聚集。</w:t>
      </w:r>
      <w:bookmarkEnd w:id="527"/>
      <w:bookmarkEnd w:id="528"/>
      <w:bookmarkEnd w:id="529"/>
      <w:bookmarkEnd w:id="530"/>
      <w:bookmarkEnd w:id="531"/>
      <w:bookmarkEnd w:id="532"/>
    </w:p>
    <w:p w14:paraId="4C6190D5">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33" w:name="_Toc26355"/>
      <w:bookmarkStart w:id="534" w:name="_Toc14971"/>
      <w:bookmarkStart w:id="535" w:name="_Toc1586"/>
      <w:bookmarkStart w:id="536" w:name="_Toc9628"/>
      <w:bookmarkStart w:id="537" w:name="_Toc26852"/>
      <w:bookmarkStart w:id="538" w:name="_Toc14523"/>
      <w:r>
        <w:rPr>
          <w:rFonts w:hint="eastAsia" w:ascii="宋体" w:eastAsia="宋体" w:cs="Times New Roman"/>
          <w:sz w:val="21"/>
          <w:lang w:val="en-US" w:eastAsia="zh-CN" w:bidi="ar-SA"/>
        </w:rPr>
        <w:t>作业船舶高压管汇应使用支架或安全链固定，布置在作业设施和船舶上的高压管线连接处应固定，长度大于10 m的直线段内应增加一个固定点。</w:t>
      </w:r>
      <w:bookmarkEnd w:id="533"/>
      <w:bookmarkEnd w:id="534"/>
      <w:bookmarkEnd w:id="535"/>
      <w:bookmarkEnd w:id="536"/>
      <w:bookmarkEnd w:id="537"/>
      <w:bookmarkEnd w:id="538"/>
    </w:p>
    <w:p w14:paraId="169E85BF">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39" w:name="_Toc3481"/>
      <w:bookmarkStart w:id="540" w:name="_Toc32210"/>
      <w:bookmarkStart w:id="541" w:name="_Toc29899"/>
      <w:bookmarkStart w:id="542" w:name="_Toc9221"/>
      <w:bookmarkStart w:id="543" w:name="_Toc18969"/>
      <w:bookmarkStart w:id="544" w:name="_Toc10921"/>
      <w:r>
        <w:rPr>
          <w:rFonts w:hint="eastAsia" w:ascii="宋体" w:eastAsia="宋体" w:cs="Times New Roman"/>
          <w:sz w:val="21"/>
          <w:lang w:val="en-US" w:eastAsia="zh-CN" w:bidi="ar-SA"/>
        </w:rPr>
        <w:t>作业船舶上压裂流程与作业设施舷边应采用多层缠绕高压软管挠性连接，作业设施应在合适位置安装软管托架。</w:t>
      </w:r>
      <w:bookmarkEnd w:id="539"/>
      <w:bookmarkEnd w:id="540"/>
      <w:bookmarkEnd w:id="541"/>
      <w:bookmarkEnd w:id="542"/>
      <w:bookmarkEnd w:id="543"/>
      <w:bookmarkEnd w:id="544"/>
    </w:p>
    <w:p w14:paraId="0DC3A269">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45" w:name="_Toc17550"/>
      <w:bookmarkStart w:id="546" w:name="_Toc4533"/>
      <w:bookmarkStart w:id="547" w:name="_Toc24114"/>
      <w:bookmarkStart w:id="548" w:name="_Toc22983"/>
      <w:bookmarkStart w:id="549" w:name="_Toc6268"/>
      <w:bookmarkStart w:id="550" w:name="_Toc1782"/>
      <w:r>
        <w:rPr>
          <w:rFonts w:hint="eastAsia" w:ascii="宋体" w:eastAsia="宋体" w:cs="Times New Roman"/>
          <w:sz w:val="21"/>
          <w:lang w:val="en-US" w:eastAsia="zh-CN" w:bidi="ar-SA"/>
        </w:rPr>
        <w:t>作业船舶高压软管长度应留有一定余量，软管预留余量应大于作业区域最大潮差与船舶甲板软管固定点最大摆幅之和，高压软管两端均应固定牢靠，并在靠近高压泵一端安装快速脱离装置。</w:t>
      </w:r>
      <w:bookmarkEnd w:id="545"/>
      <w:bookmarkEnd w:id="546"/>
      <w:bookmarkEnd w:id="547"/>
      <w:bookmarkEnd w:id="548"/>
      <w:bookmarkEnd w:id="549"/>
      <w:bookmarkEnd w:id="550"/>
    </w:p>
    <w:p w14:paraId="1D995622">
      <w:pPr>
        <w:pStyle w:val="69"/>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宋体" w:eastAsia="宋体" w:cs="Times New Roman"/>
          <w:sz w:val="21"/>
          <w:lang w:val="en-US" w:eastAsia="zh-CN" w:bidi="ar-SA"/>
        </w:rPr>
      </w:pPr>
      <w:bookmarkStart w:id="551" w:name="_Toc11216"/>
      <w:bookmarkStart w:id="552" w:name="_Toc13889"/>
      <w:bookmarkStart w:id="553" w:name="_Toc7947"/>
      <w:bookmarkStart w:id="554" w:name="_Toc9607"/>
      <w:bookmarkStart w:id="555" w:name="_Toc15149"/>
      <w:bookmarkStart w:id="556" w:name="_Toc5413"/>
      <w:r>
        <w:rPr>
          <w:rFonts w:hint="eastAsia" w:ascii="宋体" w:eastAsia="宋体" w:cs="Times New Roman"/>
          <w:sz w:val="21"/>
          <w:lang w:val="en-US" w:eastAsia="zh-CN" w:bidi="ar-SA"/>
        </w:rPr>
        <w:t>作业船舶进行压裂作业应制定船舶碰撞平台、高压管线拉断以及高压管线紧急脱离应急处置措施。</w:t>
      </w:r>
      <w:bookmarkEnd w:id="551"/>
      <w:bookmarkEnd w:id="552"/>
      <w:bookmarkEnd w:id="553"/>
      <w:bookmarkEnd w:id="554"/>
      <w:bookmarkEnd w:id="555"/>
      <w:bookmarkEnd w:id="556"/>
    </w:p>
    <w:bookmarkEnd w:id="502"/>
    <w:bookmarkEnd w:id="503"/>
    <w:bookmarkEnd w:id="504"/>
    <w:bookmarkEnd w:id="505"/>
    <w:bookmarkEnd w:id="506"/>
    <w:bookmarkEnd w:id="507"/>
    <w:bookmarkEnd w:id="508"/>
    <w:bookmarkEnd w:id="509"/>
    <w:bookmarkEnd w:id="510"/>
    <w:bookmarkEnd w:id="511"/>
    <w:bookmarkEnd w:id="512"/>
    <w:bookmarkEnd w:id="513"/>
    <w:bookmarkEnd w:id="514"/>
    <w:p w14:paraId="7AC3DA7D">
      <w:pPr>
        <w:pStyle w:val="108"/>
        <w:spacing w:before="120" w:after="120"/>
      </w:pPr>
      <w:bookmarkStart w:id="557" w:name="_Toc6438"/>
      <w:bookmarkStart w:id="558" w:name="_Toc27899"/>
      <w:bookmarkStart w:id="559" w:name="_Toc25876"/>
      <w:bookmarkStart w:id="560" w:name="_Toc8316"/>
      <w:r>
        <w:rPr>
          <w:rFonts w:hint="eastAsia"/>
        </w:rPr>
        <w:t>射孔</w:t>
      </w:r>
      <w:bookmarkEnd w:id="557"/>
      <w:bookmarkEnd w:id="558"/>
      <w:bookmarkEnd w:id="559"/>
      <w:bookmarkEnd w:id="560"/>
    </w:p>
    <w:p w14:paraId="71F685C9">
      <w:pPr>
        <w:pStyle w:val="69"/>
        <w:numPr>
          <w:ilvl w:val="3"/>
          <w:numId w:val="2"/>
        </w:numPr>
        <w:spacing w:before="0" w:beforeLines="0" w:after="0" w:afterLines="0"/>
        <w:rPr>
          <w:rFonts w:hint="eastAsia" w:ascii="宋体" w:hAnsi="宋体" w:eastAsia="宋体" w:cs="宋体"/>
        </w:rPr>
      </w:pPr>
      <w:bookmarkStart w:id="561" w:name="_Toc17747"/>
      <w:bookmarkStart w:id="562" w:name="_Toc22410"/>
      <w:bookmarkStart w:id="563" w:name="_Toc11062"/>
      <w:bookmarkStart w:id="564" w:name="_Toc5208"/>
      <w:bookmarkStart w:id="565" w:name="_Toc17241"/>
      <w:bookmarkStart w:id="566" w:name="_Toc3090"/>
      <w:bookmarkStart w:id="567" w:name="_Toc193438342"/>
      <w:r>
        <w:rPr>
          <w:rFonts w:hint="eastAsia" w:ascii="宋体" w:hAnsi="宋体" w:eastAsia="宋体" w:cs="宋体"/>
        </w:rPr>
        <w:t>射孔火工器材存储箱应远离生活区、人员密集区和危险区，并有明显的标识。</w:t>
      </w:r>
      <w:bookmarkEnd w:id="561"/>
      <w:bookmarkEnd w:id="562"/>
      <w:bookmarkEnd w:id="563"/>
      <w:bookmarkEnd w:id="564"/>
      <w:bookmarkEnd w:id="565"/>
      <w:bookmarkEnd w:id="566"/>
    </w:p>
    <w:p w14:paraId="4670417B">
      <w:pPr>
        <w:pStyle w:val="69"/>
        <w:numPr>
          <w:ilvl w:val="3"/>
          <w:numId w:val="2"/>
        </w:numPr>
        <w:spacing w:before="0" w:beforeLines="0" w:after="0" w:afterLines="0"/>
        <w:rPr>
          <w:rFonts w:hint="eastAsia" w:ascii="宋体" w:hAnsi="宋体" w:eastAsia="宋体" w:cs="宋体"/>
        </w:rPr>
      </w:pPr>
      <w:bookmarkStart w:id="568" w:name="_Toc20911"/>
      <w:bookmarkStart w:id="569" w:name="_Toc22547"/>
      <w:bookmarkStart w:id="570" w:name="_Toc15325"/>
      <w:bookmarkStart w:id="571" w:name="_Toc5545"/>
      <w:bookmarkStart w:id="572" w:name="_Toc21209"/>
      <w:bookmarkStart w:id="573" w:name="_Toc27343"/>
      <w:r>
        <w:rPr>
          <w:rFonts w:hint="eastAsia" w:ascii="宋体" w:hAnsi="宋体" w:eastAsia="宋体" w:cs="宋体"/>
        </w:rPr>
        <w:t>射孔作业使用的火工器材按照GB</w:t>
      </w:r>
      <w:r>
        <w:rPr>
          <w:rFonts w:hint="eastAsia" w:ascii="宋体" w:hAnsi="宋体" w:eastAsia="宋体" w:cs="宋体"/>
          <w:lang w:val="en-US" w:eastAsia="zh-CN"/>
        </w:rPr>
        <w:t xml:space="preserve"> </w:t>
      </w:r>
      <w:r>
        <w:rPr>
          <w:rFonts w:hint="eastAsia" w:ascii="宋体" w:hAnsi="宋体" w:eastAsia="宋体" w:cs="宋体"/>
        </w:rPr>
        <w:t>40554.1的要求进行管控。</w:t>
      </w:r>
      <w:bookmarkEnd w:id="568"/>
      <w:bookmarkEnd w:id="569"/>
      <w:bookmarkEnd w:id="570"/>
      <w:bookmarkEnd w:id="571"/>
      <w:bookmarkEnd w:id="572"/>
      <w:bookmarkEnd w:id="573"/>
    </w:p>
    <w:p w14:paraId="013E10F6">
      <w:pPr>
        <w:pStyle w:val="69"/>
        <w:numPr>
          <w:ilvl w:val="3"/>
          <w:numId w:val="2"/>
        </w:numPr>
        <w:spacing w:before="0" w:beforeLines="0" w:after="0" w:afterLines="0"/>
        <w:rPr>
          <w:rFonts w:hint="eastAsia" w:ascii="宋体" w:hAnsi="宋体" w:eastAsia="宋体" w:cs="宋体"/>
          <w:highlight w:val="none"/>
        </w:rPr>
      </w:pPr>
      <w:bookmarkStart w:id="574" w:name="_Toc7558"/>
      <w:bookmarkStart w:id="575" w:name="_Toc5324"/>
      <w:bookmarkStart w:id="576" w:name="_Toc10440"/>
      <w:bookmarkStart w:id="577" w:name="_Toc29661"/>
      <w:bookmarkStart w:id="578" w:name="_Toc5160"/>
      <w:bookmarkStart w:id="579" w:name="_Toc19504"/>
      <w:r>
        <w:rPr>
          <w:rFonts w:hint="eastAsia" w:ascii="宋体" w:hAnsi="宋体" w:eastAsia="宋体" w:cs="宋体"/>
          <w:highlight w:val="none"/>
        </w:rPr>
        <w:t>油管输送射孔应满足以下要求：</w:t>
      </w:r>
      <w:bookmarkEnd w:id="574"/>
      <w:bookmarkEnd w:id="575"/>
      <w:bookmarkEnd w:id="576"/>
      <w:bookmarkEnd w:id="577"/>
      <w:bookmarkEnd w:id="578"/>
      <w:bookmarkEnd w:id="579"/>
    </w:p>
    <w:p w14:paraId="2FDA0A64">
      <w:pPr>
        <w:pStyle w:val="178"/>
        <w:numPr>
          <w:ilvl w:val="0"/>
          <w:numId w:val="35"/>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油管（钻杆）输送射孔作业过程中，起爆装置与射孔器的对接在井口（钻台）进行，</w:t>
      </w:r>
      <w:r>
        <w:rPr>
          <w:rFonts w:hint="eastAsia" w:hAnsi="宋体" w:cs="宋体"/>
          <w:highlight w:val="none"/>
          <w:lang w:val="en-US" w:eastAsia="zh-CN"/>
        </w:rPr>
        <w:t>并在</w:t>
      </w:r>
      <w:r>
        <w:rPr>
          <w:rFonts w:hint="eastAsia" w:ascii="宋体" w:hAnsi="宋体" w:eastAsia="宋体" w:cs="宋体"/>
          <w:highlight w:val="none"/>
        </w:rPr>
        <w:t>起爆装置与射孔器之间串接安全隔离装置或不小于2</w:t>
      </w:r>
      <w:r>
        <w:rPr>
          <w:rFonts w:hint="eastAsia" w:ascii="宋体" w:hAnsi="宋体" w:eastAsia="宋体" w:cs="宋体"/>
          <w:highlight w:val="none"/>
          <w:lang w:val="en-US" w:eastAsia="zh-CN"/>
        </w:rPr>
        <w:t xml:space="preserve"> </w:t>
      </w:r>
      <w:r>
        <w:rPr>
          <w:rFonts w:hint="eastAsia" w:ascii="宋体" w:hAnsi="宋体" w:eastAsia="宋体" w:cs="宋体"/>
          <w:highlight w:val="none"/>
        </w:rPr>
        <w:t>m长度的安全枪</w:t>
      </w:r>
      <w:r>
        <w:rPr>
          <w:rFonts w:hint="eastAsia" w:hAnsi="宋体" w:cs="宋体"/>
          <w:highlight w:val="none"/>
          <w:lang w:eastAsia="zh-CN"/>
        </w:rPr>
        <w:t>；</w:t>
      </w:r>
    </w:p>
    <w:p w14:paraId="03D89E62">
      <w:pPr>
        <w:pStyle w:val="178"/>
        <w:numPr>
          <w:ilvl w:val="0"/>
          <w:numId w:val="35"/>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起、下射孔枪时，使用与井内射孔枪扣型相匹配的变扣及提升短节进行施工</w:t>
      </w:r>
      <w:r>
        <w:rPr>
          <w:rFonts w:hint="eastAsia" w:hAnsi="宋体" w:cs="宋体"/>
          <w:highlight w:val="none"/>
          <w:lang w:eastAsia="zh-CN"/>
        </w:rPr>
        <w:t>；</w:t>
      </w:r>
    </w:p>
    <w:p w14:paraId="73EE4F0D">
      <w:pPr>
        <w:pStyle w:val="178"/>
        <w:numPr>
          <w:ilvl w:val="0"/>
          <w:numId w:val="35"/>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采用油管（钻杆）压力引爆时，下入过程确保油管（钻杆）内液柱压力低于起爆压力</w:t>
      </w:r>
      <w:r>
        <w:rPr>
          <w:rFonts w:hint="eastAsia" w:hAnsi="宋体" w:cs="宋体"/>
          <w:highlight w:val="none"/>
          <w:lang w:eastAsia="zh-CN"/>
        </w:rPr>
        <w:t>；</w:t>
      </w:r>
      <w:r>
        <w:rPr>
          <w:rFonts w:hint="eastAsia" w:ascii="宋体" w:hAnsi="宋体" w:eastAsia="宋体" w:cs="宋体"/>
          <w:highlight w:val="none"/>
        </w:rPr>
        <w:t>采用环空加压引爆时，下入过程监测并控制环空压力低于起爆压力</w:t>
      </w:r>
      <w:r>
        <w:rPr>
          <w:rFonts w:hint="eastAsia" w:hAnsi="宋体" w:cs="宋体"/>
          <w:highlight w:val="none"/>
          <w:lang w:eastAsia="zh-CN"/>
        </w:rPr>
        <w:t>；</w:t>
      </w:r>
    </w:p>
    <w:p w14:paraId="5B56E2C6">
      <w:pPr>
        <w:pStyle w:val="178"/>
        <w:numPr>
          <w:ilvl w:val="0"/>
          <w:numId w:val="35"/>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采用井口压力引爆时，井口加压值不超过采油（气）树额定工作压力</w:t>
      </w:r>
      <w:r>
        <w:rPr>
          <w:rFonts w:hint="eastAsia" w:hAnsi="宋体" w:cs="宋体"/>
          <w:highlight w:val="none"/>
          <w:lang w:eastAsia="zh-CN"/>
        </w:rPr>
        <w:t>；</w:t>
      </w:r>
    </w:p>
    <w:p w14:paraId="4FB73E7B">
      <w:pPr>
        <w:pStyle w:val="178"/>
        <w:numPr>
          <w:ilvl w:val="0"/>
          <w:numId w:val="35"/>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起射孔管柱前先循环洗（压）井，现场观察油套管压力是否有异常，确认无异常现象后方可起管柱。</w:t>
      </w:r>
    </w:p>
    <w:p w14:paraId="4AB4F746">
      <w:pPr>
        <w:pStyle w:val="69"/>
        <w:numPr>
          <w:ilvl w:val="3"/>
          <w:numId w:val="2"/>
        </w:numPr>
        <w:spacing w:before="0" w:beforeLines="0" w:after="0" w:afterLines="0"/>
        <w:rPr>
          <w:rFonts w:hint="eastAsia" w:ascii="宋体" w:hAnsi="宋体" w:eastAsia="宋体" w:cs="宋体"/>
          <w:highlight w:val="none"/>
        </w:rPr>
      </w:pPr>
      <w:bookmarkStart w:id="580" w:name="_Toc29032"/>
      <w:bookmarkStart w:id="581" w:name="_Toc13035"/>
      <w:bookmarkStart w:id="582" w:name="_Toc15774"/>
      <w:bookmarkStart w:id="583" w:name="_Toc4453"/>
      <w:bookmarkStart w:id="584" w:name="_Toc19841"/>
      <w:bookmarkStart w:id="585" w:name="_Toc11103"/>
      <w:r>
        <w:rPr>
          <w:rFonts w:hint="eastAsia" w:ascii="宋体" w:hAnsi="宋体" w:eastAsia="宋体" w:cs="宋体"/>
          <w:highlight w:val="none"/>
        </w:rPr>
        <w:t>电缆输送射孔应满足以下要求：</w:t>
      </w:r>
      <w:bookmarkEnd w:id="580"/>
      <w:bookmarkEnd w:id="581"/>
      <w:bookmarkEnd w:id="582"/>
      <w:bookmarkEnd w:id="583"/>
      <w:bookmarkEnd w:id="584"/>
      <w:bookmarkEnd w:id="585"/>
    </w:p>
    <w:p w14:paraId="57BF6409">
      <w:pPr>
        <w:pStyle w:val="178"/>
        <w:numPr>
          <w:ilvl w:val="0"/>
          <w:numId w:val="36"/>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射孔前安装电缆防喷装置并试压合格，将电缆应急剪断工具放置在井口方便取用位置</w:t>
      </w:r>
      <w:r>
        <w:rPr>
          <w:rFonts w:hint="eastAsia" w:hAnsi="宋体" w:cs="宋体"/>
          <w:highlight w:val="none"/>
          <w:lang w:eastAsia="zh-CN"/>
        </w:rPr>
        <w:t>；</w:t>
      </w:r>
    </w:p>
    <w:p w14:paraId="70B9898C">
      <w:pPr>
        <w:pStyle w:val="178"/>
        <w:numPr>
          <w:ilvl w:val="0"/>
          <w:numId w:val="36"/>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连接电雷管引线之前，关闭仪器上的所有电源，点火线对地放电后才能与电雷管引线连接</w:t>
      </w:r>
      <w:r>
        <w:rPr>
          <w:rFonts w:hint="eastAsia" w:hAnsi="宋体" w:cs="宋体"/>
          <w:highlight w:val="none"/>
          <w:lang w:eastAsia="zh-CN"/>
        </w:rPr>
        <w:t>；</w:t>
      </w:r>
    </w:p>
    <w:p w14:paraId="254654EF">
      <w:pPr>
        <w:pStyle w:val="178"/>
        <w:numPr>
          <w:ilvl w:val="0"/>
          <w:numId w:val="36"/>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起下射孔枪过程中，根据井口压力变化适时调节注脂压力，防止压力泄</w:t>
      </w:r>
      <w:r>
        <w:rPr>
          <w:rFonts w:hint="eastAsia" w:hAnsi="宋体" w:cs="宋体"/>
          <w:highlight w:val="none"/>
          <w:lang w:val="en-US" w:eastAsia="zh-CN"/>
        </w:rPr>
        <w:t>漏</w:t>
      </w:r>
      <w:r>
        <w:rPr>
          <w:rFonts w:hint="eastAsia" w:hAnsi="宋体" w:cs="宋体"/>
          <w:highlight w:val="none"/>
          <w:lang w:eastAsia="zh-CN"/>
        </w:rPr>
        <w:t>；</w:t>
      </w:r>
    </w:p>
    <w:p w14:paraId="2DEAF03E">
      <w:pPr>
        <w:pStyle w:val="178"/>
        <w:numPr>
          <w:ilvl w:val="0"/>
          <w:numId w:val="36"/>
        </w:numPr>
        <w:spacing w:beforeLines="0" w:afterLines="0"/>
        <w:ind w:left="851" w:leftChars="0" w:hanging="426" w:firstLineChars="0"/>
        <w:rPr>
          <w:rFonts w:hint="eastAsia" w:ascii="宋体" w:hAnsi="宋体" w:eastAsia="宋体" w:cs="宋体"/>
          <w:highlight w:val="none"/>
        </w:rPr>
      </w:pPr>
      <w:r>
        <w:rPr>
          <w:rFonts w:hint="eastAsia" w:ascii="宋体" w:hAnsi="宋体" w:eastAsia="宋体" w:cs="宋体"/>
          <w:highlight w:val="none"/>
        </w:rPr>
        <w:t>作业过程中，一旦发生电缆密封失效、注脂泵故障、井口泄漏等情况，立即停止作业，关闭电缆防喷器并进行处理</w:t>
      </w:r>
      <w:r>
        <w:rPr>
          <w:rFonts w:hint="eastAsia" w:hAnsi="宋体" w:cs="宋体"/>
          <w:highlight w:val="none"/>
          <w:lang w:eastAsia="zh-CN"/>
        </w:rPr>
        <w:t>；</w:t>
      </w:r>
    </w:p>
    <w:p w14:paraId="0E6BC235">
      <w:pPr>
        <w:pStyle w:val="178"/>
        <w:numPr>
          <w:ilvl w:val="0"/>
          <w:numId w:val="36"/>
        </w:numPr>
        <w:spacing w:beforeLines="0" w:afterLines="0"/>
        <w:ind w:left="851" w:leftChars="0" w:hanging="426" w:firstLineChars="0"/>
        <w:rPr>
          <w:rFonts w:hint="eastAsia" w:ascii="宋体" w:hAnsi="宋体" w:eastAsia="宋体" w:cs="宋体"/>
        </w:rPr>
      </w:pPr>
      <w:r>
        <w:rPr>
          <w:rFonts w:hint="eastAsia" w:ascii="宋体" w:hAnsi="宋体" w:eastAsia="宋体" w:cs="宋体"/>
          <w:highlight w:val="none"/>
        </w:rPr>
        <w:t>射孔结束后，观察井口无异常后方可进行下步作业。</w:t>
      </w:r>
    </w:p>
    <w:p w14:paraId="108C35F7">
      <w:pPr>
        <w:pStyle w:val="108"/>
        <w:spacing w:before="120" w:after="120"/>
        <w:rPr>
          <w:rFonts w:hint="eastAsia"/>
          <w:lang w:val="en-US" w:eastAsia="zh-CN"/>
        </w:rPr>
      </w:pPr>
      <w:bookmarkStart w:id="586" w:name="_Toc12058"/>
      <w:bookmarkStart w:id="587" w:name="_Toc3640"/>
      <w:bookmarkStart w:id="588" w:name="_Toc19624"/>
      <w:bookmarkStart w:id="589" w:name="_Toc4293"/>
      <w:r>
        <w:rPr>
          <w:rFonts w:hint="eastAsia"/>
          <w:lang w:val="en-US" w:eastAsia="zh-CN"/>
        </w:rPr>
        <w:t>钢丝/电缆</w:t>
      </w:r>
      <w:bookmarkEnd w:id="586"/>
      <w:bookmarkEnd w:id="587"/>
      <w:bookmarkEnd w:id="588"/>
      <w:bookmarkEnd w:id="589"/>
    </w:p>
    <w:p w14:paraId="45735F03">
      <w:pPr>
        <w:pStyle w:val="69"/>
        <w:numPr>
          <w:ilvl w:val="3"/>
          <w:numId w:val="2"/>
        </w:numPr>
        <w:spacing w:before="0" w:beforeLines="0" w:after="0" w:afterLines="0"/>
        <w:rPr>
          <w:rFonts w:hint="eastAsia" w:ascii="宋体" w:hAnsi="宋体" w:eastAsia="宋体" w:cs="宋体"/>
          <w:lang w:val="en-US" w:eastAsia="zh-CN"/>
        </w:rPr>
      </w:pPr>
      <w:bookmarkStart w:id="590" w:name="_Toc29068"/>
      <w:bookmarkStart w:id="591" w:name="_Toc24600"/>
      <w:bookmarkStart w:id="592" w:name="_Toc24342"/>
      <w:bookmarkStart w:id="593" w:name="_Toc18627"/>
      <w:bookmarkStart w:id="594" w:name="_Toc22309"/>
      <w:bookmarkStart w:id="595" w:name="_Toc17104"/>
      <w:r>
        <w:rPr>
          <w:rFonts w:hint="eastAsia" w:ascii="宋体" w:hAnsi="宋体" w:eastAsia="宋体" w:cs="宋体"/>
          <w:lang w:val="en-US" w:eastAsia="zh-CN"/>
        </w:rPr>
        <w:t>钢丝/电缆作业应安装不低于当前</w:t>
      </w:r>
      <w:r>
        <w:rPr>
          <w:rFonts w:hint="eastAsia" w:ascii="宋体" w:hAnsi="宋体" w:eastAsia="宋体" w:cs="宋体"/>
          <w:highlight w:val="none"/>
        </w:rPr>
        <w:t>作业层位最大地层压力</w:t>
      </w:r>
      <w:r>
        <w:rPr>
          <w:rFonts w:hint="eastAsia" w:ascii="宋体" w:hAnsi="宋体" w:eastAsia="宋体" w:cs="宋体"/>
          <w:lang w:val="en-US" w:eastAsia="zh-CN"/>
        </w:rPr>
        <w:t>的防喷设备，安装后应进行试压，试压值不小于预测最高井口关井压力。</w:t>
      </w:r>
      <w:bookmarkEnd w:id="590"/>
      <w:bookmarkEnd w:id="591"/>
      <w:bookmarkEnd w:id="592"/>
      <w:bookmarkEnd w:id="593"/>
      <w:bookmarkEnd w:id="594"/>
    </w:p>
    <w:p w14:paraId="71A62EC9">
      <w:pPr>
        <w:pStyle w:val="69"/>
        <w:numPr>
          <w:ilvl w:val="3"/>
          <w:numId w:val="2"/>
        </w:numPr>
        <w:spacing w:before="0" w:beforeLines="0" w:after="0" w:afterLines="0"/>
        <w:rPr>
          <w:rFonts w:hint="eastAsia" w:ascii="宋体" w:hAnsi="宋体" w:eastAsia="宋体" w:cs="宋体"/>
          <w:highlight w:val="none"/>
          <w:lang w:val="en-US" w:eastAsia="zh-CN"/>
        </w:rPr>
      </w:pPr>
      <w:bookmarkStart w:id="596" w:name="_Toc18388"/>
      <w:bookmarkStart w:id="597" w:name="_Toc30955"/>
      <w:bookmarkStart w:id="598" w:name="_Toc5512"/>
      <w:bookmarkStart w:id="599" w:name="_Toc1007"/>
      <w:bookmarkStart w:id="600" w:name="_Toc11604"/>
      <w:r>
        <w:rPr>
          <w:rFonts w:hint="eastAsia" w:ascii="宋体" w:hAnsi="宋体" w:eastAsia="宋体" w:cs="宋体"/>
          <w:highlight w:val="none"/>
          <w:lang w:val="en-US" w:eastAsia="zh-CN"/>
        </w:rPr>
        <w:t>钢丝/电缆作业应配备钢丝/电缆专用剪断工具。</w:t>
      </w:r>
      <w:bookmarkEnd w:id="595"/>
      <w:bookmarkEnd w:id="596"/>
      <w:bookmarkEnd w:id="597"/>
      <w:bookmarkEnd w:id="598"/>
      <w:bookmarkEnd w:id="599"/>
      <w:bookmarkEnd w:id="600"/>
    </w:p>
    <w:p w14:paraId="536724B6">
      <w:pPr>
        <w:pStyle w:val="69"/>
        <w:numPr>
          <w:ilvl w:val="3"/>
          <w:numId w:val="2"/>
        </w:numPr>
        <w:spacing w:before="0" w:beforeLines="0" w:after="0" w:afterLines="0"/>
        <w:rPr>
          <w:rFonts w:hint="eastAsia" w:ascii="宋体" w:hAnsi="宋体" w:eastAsia="宋体" w:cs="宋体"/>
          <w:lang w:val="en-US" w:eastAsia="zh-CN"/>
        </w:rPr>
      </w:pPr>
      <w:bookmarkStart w:id="601" w:name="_Toc13738"/>
      <w:bookmarkStart w:id="602" w:name="_Toc7887"/>
      <w:bookmarkStart w:id="603" w:name="_Toc30146"/>
      <w:bookmarkStart w:id="604" w:name="_Toc20812"/>
      <w:bookmarkStart w:id="605" w:name="_Toc1881"/>
      <w:bookmarkStart w:id="606" w:name="_Toc18372"/>
      <w:r>
        <w:rPr>
          <w:rFonts w:hint="eastAsia" w:ascii="宋体" w:hAnsi="宋体" w:eastAsia="宋体" w:cs="宋体"/>
          <w:lang w:val="en-US" w:eastAsia="zh-CN"/>
        </w:rPr>
        <w:t>井口滑轮、张力传感器、吊卡、链条和天地滑轮双保险设施（如安全链条/安全吊装带）等承重部件无损伤、连接可靠，连接部件转动灵活，安全性能符合作业要求。</w:t>
      </w:r>
      <w:bookmarkEnd w:id="601"/>
      <w:bookmarkEnd w:id="602"/>
      <w:bookmarkEnd w:id="603"/>
      <w:bookmarkEnd w:id="604"/>
      <w:bookmarkEnd w:id="605"/>
      <w:bookmarkEnd w:id="606"/>
    </w:p>
    <w:p w14:paraId="781352D2">
      <w:pPr>
        <w:pStyle w:val="69"/>
        <w:numPr>
          <w:ilvl w:val="3"/>
          <w:numId w:val="2"/>
        </w:numPr>
        <w:spacing w:before="0" w:beforeLines="0" w:after="0" w:afterLines="0"/>
        <w:rPr>
          <w:rFonts w:hint="eastAsia" w:ascii="宋体" w:hAnsi="宋体" w:eastAsia="宋体" w:cs="宋体"/>
          <w:lang w:val="en-US" w:eastAsia="zh-CN"/>
        </w:rPr>
      </w:pPr>
      <w:bookmarkStart w:id="607" w:name="_Toc18662"/>
      <w:bookmarkStart w:id="608" w:name="_Toc12647"/>
      <w:bookmarkStart w:id="609" w:name="_Toc20644"/>
      <w:bookmarkStart w:id="610" w:name="_Toc26544"/>
      <w:bookmarkStart w:id="611" w:name="_Toc3450"/>
      <w:bookmarkStart w:id="612" w:name="_Toc26260"/>
      <w:r>
        <w:rPr>
          <w:rFonts w:hint="eastAsia" w:ascii="宋体" w:hAnsi="宋体" w:eastAsia="宋体" w:cs="宋体"/>
          <w:lang w:val="en-US" w:eastAsia="zh-CN"/>
        </w:rPr>
        <w:t>绞车传动系统运转灵活，制动装置安全可靠。</w:t>
      </w:r>
      <w:bookmarkEnd w:id="607"/>
      <w:bookmarkEnd w:id="608"/>
      <w:bookmarkEnd w:id="609"/>
      <w:bookmarkEnd w:id="610"/>
      <w:bookmarkEnd w:id="611"/>
      <w:bookmarkEnd w:id="612"/>
    </w:p>
    <w:p w14:paraId="693E032A">
      <w:pPr>
        <w:pStyle w:val="69"/>
        <w:numPr>
          <w:ilvl w:val="3"/>
          <w:numId w:val="2"/>
        </w:numPr>
        <w:spacing w:before="0" w:beforeLines="0" w:after="0" w:afterLines="0"/>
        <w:rPr>
          <w:rFonts w:hint="eastAsia" w:ascii="宋体" w:hAnsi="宋体" w:eastAsia="宋体" w:cs="宋体"/>
          <w:lang w:val="en-US" w:eastAsia="zh-CN"/>
        </w:rPr>
      </w:pPr>
      <w:bookmarkStart w:id="613" w:name="_Toc12478"/>
      <w:bookmarkStart w:id="614" w:name="_Toc5925"/>
      <w:bookmarkStart w:id="615" w:name="_Toc72"/>
      <w:bookmarkStart w:id="616" w:name="_Toc19923"/>
      <w:bookmarkStart w:id="617" w:name="_Toc21899"/>
      <w:bookmarkStart w:id="618" w:name="_Toc8121"/>
      <w:r>
        <w:rPr>
          <w:rFonts w:hint="eastAsia" w:ascii="宋体" w:hAnsi="宋体" w:eastAsia="宋体" w:cs="宋体"/>
          <w:lang w:val="en-US" w:eastAsia="zh-CN"/>
        </w:rPr>
        <w:t>作业期间，置换防喷管中的流体时，应控制流体流速，管内全部充满井内流体后，关闭放空阀。</w:t>
      </w:r>
      <w:bookmarkEnd w:id="613"/>
      <w:bookmarkEnd w:id="614"/>
      <w:bookmarkEnd w:id="615"/>
      <w:bookmarkEnd w:id="616"/>
      <w:bookmarkEnd w:id="617"/>
      <w:bookmarkEnd w:id="618"/>
    </w:p>
    <w:p w14:paraId="0879B888">
      <w:pPr>
        <w:pStyle w:val="69"/>
        <w:numPr>
          <w:ilvl w:val="3"/>
          <w:numId w:val="2"/>
        </w:numPr>
        <w:spacing w:before="0" w:beforeLines="0" w:after="0" w:afterLines="0"/>
        <w:rPr>
          <w:rFonts w:hint="eastAsia" w:ascii="宋体" w:hAnsi="宋体" w:eastAsia="宋体" w:cs="宋体"/>
          <w:lang w:val="en-US" w:eastAsia="zh-CN"/>
        </w:rPr>
      </w:pPr>
      <w:bookmarkStart w:id="619" w:name="_Toc13388"/>
      <w:bookmarkStart w:id="620" w:name="_Toc1483"/>
      <w:bookmarkStart w:id="621" w:name="_Toc23239"/>
      <w:bookmarkStart w:id="622" w:name="_Toc10051"/>
      <w:bookmarkStart w:id="623" w:name="_Toc23548"/>
      <w:bookmarkStart w:id="624" w:name="_Toc1349"/>
      <w:r>
        <w:rPr>
          <w:rFonts w:hint="eastAsia" w:ascii="宋体" w:hAnsi="宋体" w:eastAsia="宋体" w:cs="宋体"/>
          <w:lang w:val="en-US" w:eastAsia="zh-CN"/>
        </w:rPr>
        <w:t>作业目标井应悬挂钢丝/电缆作业警示牌，对主阀和清蜡阀进行锁止，防止人员误操作。</w:t>
      </w:r>
      <w:bookmarkEnd w:id="619"/>
      <w:bookmarkEnd w:id="620"/>
      <w:bookmarkEnd w:id="621"/>
      <w:bookmarkEnd w:id="622"/>
      <w:bookmarkEnd w:id="623"/>
      <w:bookmarkEnd w:id="624"/>
    </w:p>
    <w:p w14:paraId="1D333EBB">
      <w:pPr>
        <w:pStyle w:val="69"/>
        <w:numPr>
          <w:ilvl w:val="3"/>
          <w:numId w:val="2"/>
        </w:numPr>
        <w:spacing w:before="0" w:beforeLines="0" w:after="0" w:afterLines="0"/>
        <w:rPr>
          <w:rFonts w:hint="eastAsia" w:ascii="宋体" w:hAnsi="宋体" w:eastAsia="宋体" w:cs="宋体"/>
          <w:lang w:val="en-US" w:eastAsia="zh-CN"/>
        </w:rPr>
      </w:pPr>
      <w:bookmarkStart w:id="625" w:name="_Toc22954"/>
      <w:bookmarkStart w:id="626" w:name="_Toc31792"/>
      <w:bookmarkStart w:id="627" w:name="_Toc9570"/>
      <w:bookmarkStart w:id="628" w:name="_Toc6951"/>
      <w:bookmarkStart w:id="629" w:name="_Toc12307"/>
      <w:r>
        <w:rPr>
          <w:rFonts w:hint="eastAsia" w:ascii="宋体" w:hAnsi="宋体" w:eastAsia="宋体" w:cs="宋体"/>
          <w:lang w:val="en-US" w:eastAsia="zh-CN"/>
        </w:rPr>
        <w:t>作业过程中，应派专人值守，及时发现井漏或溢流等异常情况。</w:t>
      </w:r>
      <w:bookmarkEnd w:id="625"/>
      <w:bookmarkEnd w:id="626"/>
      <w:bookmarkEnd w:id="627"/>
      <w:bookmarkEnd w:id="628"/>
      <w:bookmarkEnd w:id="629"/>
    </w:p>
    <w:p w14:paraId="1D54EEC7">
      <w:pPr>
        <w:pStyle w:val="108"/>
        <w:spacing w:before="120" w:after="120"/>
        <w:rPr>
          <w:rFonts w:hint="eastAsia"/>
          <w:lang w:val="en-US" w:eastAsia="zh-CN"/>
        </w:rPr>
      </w:pPr>
      <w:bookmarkStart w:id="630" w:name="_Toc12842"/>
      <w:bookmarkStart w:id="631" w:name="_Toc30114"/>
      <w:bookmarkStart w:id="632" w:name="_Toc9384"/>
      <w:bookmarkStart w:id="633" w:name="_Toc5526"/>
      <w:r>
        <w:rPr>
          <w:rFonts w:hint="eastAsia"/>
          <w:lang w:val="en-US" w:eastAsia="zh-CN"/>
        </w:rPr>
        <w:t>连续油管</w:t>
      </w:r>
      <w:bookmarkEnd w:id="630"/>
      <w:bookmarkEnd w:id="631"/>
      <w:bookmarkEnd w:id="632"/>
      <w:bookmarkEnd w:id="633"/>
    </w:p>
    <w:p w14:paraId="71620A58">
      <w:pPr>
        <w:pStyle w:val="69"/>
        <w:numPr>
          <w:ilvl w:val="3"/>
          <w:numId w:val="2"/>
        </w:numPr>
        <w:spacing w:before="0" w:beforeLines="0" w:after="0" w:afterLines="0"/>
        <w:rPr>
          <w:rFonts w:hint="eastAsia" w:ascii="宋体" w:hAnsi="宋体" w:eastAsia="宋体" w:cs="宋体"/>
          <w:lang w:val="en-US" w:eastAsia="zh-CN"/>
        </w:rPr>
      </w:pPr>
      <w:bookmarkStart w:id="634" w:name="_Toc18540"/>
      <w:bookmarkStart w:id="635" w:name="_Toc24722"/>
      <w:bookmarkStart w:id="636" w:name="_Toc19125"/>
      <w:bookmarkStart w:id="637" w:name="_Toc26359"/>
      <w:bookmarkStart w:id="638" w:name="_Toc19502"/>
      <w:bookmarkStart w:id="639" w:name="_Toc655"/>
      <w:r>
        <w:rPr>
          <w:rFonts w:hint="eastAsia" w:ascii="宋体" w:hAnsi="宋体" w:eastAsia="宋体" w:cs="宋体"/>
          <w:lang w:val="en-US" w:eastAsia="zh-CN"/>
        </w:rPr>
        <w:t>连续油管井控设备应至少包括防喷器、防喷管、防喷盒、单流阀。</w:t>
      </w:r>
      <w:bookmarkEnd w:id="634"/>
      <w:bookmarkEnd w:id="635"/>
      <w:bookmarkEnd w:id="636"/>
      <w:bookmarkEnd w:id="637"/>
      <w:bookmarkEnd w:id="638"/>
      <w:bookmarkEnd w:id="639"/>
    </w:p>
    <w:p w14:paraId="6EC0B420">
      <w:pPr>
        <w:pStyle w:val="69"/>
        <w:numPr>
          <w:ilvl w:val="3"/>
          <w:numId w:val="2"/>
        </w:numPr>
        <w:spacing w:before="0" w:beforeLines="0" w:after="0" w:afterLines="0"/>
        <w:rPr>
          <w:rFonts w:hint="eastAsia" w:ascii="宋体" w:hAnsi="宋体" w:eastAsia="宋体" w:cs="宋体"/>
          <w:lang w:val="en-US" w:eastAsia="zh-CN"/>
        </w:rPr>
      </w:pPr>
      <w:bookmarkStart w:id="640" w:name="_Toc23919"/>
      <w:bookmarkStart w:id="641" w:name="_Toc13007"/>
      <w:bookmarkStart w:id="642" w:name="_Toc22109"/>
      <w:bookmarkStart w:id="643" w:name="_Toc4308"/>
      <w:bookmarkStart w:id="644" w:name="_Toc17885"/>
      <w:bookmarkStart w:id="645" w:name="_Toc10489"/>
      <w:r>
        <w:rPr>
          <w:rFonts w:hint="eastAsia" w:ascii="宋体" w:hAnsi="宋体" w:eastAsia="宋体" w:cs="宋体"/>
          <w:lang w:val="en-US" w:eastAsia="zh-CN"/>
        </w:rPr>
        <w:t>井控设备最小额定压力等级应不小于预测最高井口关井压力的1.25倍；连续油管及泵注设备额定压力不小于预测最高施工压力的1.25倍，材质应满足井内介质要求。</w:t>
      </w:r>
      <w:bookmarkEnd w:id="640"/>
      <w:bookmarkEnd w:id="641"/>
      <w:bookmarkEnd w:id="642"/>
      <w:bookmarkEnd w:id="643"/>
      <w:bookmarkEnd w:id="644"/>
      <w:bookmarkEnd w:id="645"/>
    </w:p>
    <w:p w14:paraId="28113C46">
      <w:pPr>
        <w:pStyle w:val="69"/>
        <w:numPr>
          <w:ilvl w:val="3"/>
          <w:numId w:val="2"/>
        </w:numPr>
        <w:spacing w:before="0" w:beforeLines="0" w:after="0" w:afterLines="0"/>
        <w:rPr>
          <w:rFonts w:hint="eastAsia" w:ascii="宋体" w:hAnsi="宋体" w:eastAsia="宋体" w:cs="宋体"/>
          <w:lang w:val="en-US" w:eastAsia="zh-CN"/>
        </w:rPr>
      </w:pPr>
      <w:bookmarkStart w:id="646" w:name="_Toc32226"/>
      <w:bookmarkStart w:id="647" w:name="_Toc11365"/>
      <w:bookmarkStart w:id="648" w:name="_Toc10031"/>
      <w:bookmarkStart w:id="649" w:name="_Toc3439"/>
      <w:bookmarkStart w:id="650" w:name="_Toc8185"/>
      <w:bookmarkStart w:id="651" w:name="_Toc5398"/>
      <w:r>
        <w:rPr>
          <w:rFonts w:hint="eastAsia" w:ascii="宋体" w:hAnsi="宋体" w:eastAsia="宋体" w:cs="宋体"/>
          <w:lang w:val="en-US" w:eastAsia="zh-CN"/>
        </w:rPr>
        <w:t>防喷器和防喷管通径应满足连续油管入井工具通过要求，防喷管长度应大于组合工具串长度。</w:t>
      </w:r>
      <w:bookmarkEnd w:id="646"/>
      <w:bookmarkEnd w:id="647"/>
      <w:bookmarkEnd w:id="648"/>
      <w:bookmarkEnd w:id="649"/>
      <w:bookmarkEnd w:id="650"/>
      <w:bookmarkEnd w:id="651"/>
    </w:p>
    <w:p w14:paraId="5CF60BAD">
      <w:pPr>
        <w:pStyle w:val="69"/>
        <w:numPr>
          <w:ilvl w:val="3"/>
          <w:numId w:val="2"/>
        </w:numPr>
        <w:spacing w:before="0" w:beforeLines="0" w:after="0" w:afterLines="0"/>
        <w:rPr>
          <w:rFonts w:hint="eastAsia" w:ascii="宋体" w:hAnsi="宋体" w:eastAsia="宋体" w:cs="宋体"/>
          <w:lang w:val="en-US" w:eastAsia="zh-CN"/>
        </w:rPr>
      </w:pPr>
      <w:bookmarkStart w:id="652" w:name="_Toc25453"/>
      <w:bookmarkStart w:id="653" w:name="_Toc3170"/>
      <w:bookmarkStart w:id="654" w:name="_Toc31582"/>
      <w:bookmarkStart w:id="655" w:name="_Toc17968"/>
      <w:bookmarkStart w:id="656" w:name="_Toc31554"/>
      <w:bookmarkStart w:id="657" w:name="_Toc24204"/>
      <w:r>
        <w:rPr>
          <w:rFonts w:hint="eastAsia" w:ascii="宋体" w:hAnsi="宋体" w:eastAsia="宋体" w:cs="宋体"/>
          <w:lang w:val="en-US" w:eastAsia="zh-CN"/>
        </w:rPr>
        <w:t>作业前应根据设计要求对井口、井控装置、地面管线、连续油管和工具串进行系统试压，每次拆装防喷器和井控管汇后，应重新试压。</w:t>
      </w:r>
      <w:bookmarkEnd w:id="652"/>
      <w:bookmarkEnd w:id="653"/>
      <w:bookmarkEnd w:id="654"/>
      <w:bookmarkEnd w:id="655"/>
      <w:bookmarkEnd w:id="656"/>
      <w:bookmarkEnd w:id="657"/>
    </w:p>
    <w:p w14:paraId="10580B91">
      <w:pPr>
        <w:pStyle w:val="69"/>
        <w:numPr>
          <w:ilvl w:val="3"/>
          <w:numId w:val="2"/>
        </w:numPr>
        <w:spacing w:before="0" w:beforeLines="0" w:after="0" w:afterLines="0"/>
        <w:rPr>
          <w:rFonts w:hint="eastAsia" w:ascii="宋体" w:hAnsi="宋体" w:eastAsia="宋体" w:cs="宋体"/>
          <w:lang w:val="en-US" w:eastAsia="zh-CN"/>
        </w:rPr>
      </w:pPr>
      <w:bookmarkStart w:id="658" w:name="_Toc26269"/>
      <w:bookmarkStart w:id="659" w:name="_Toc12138"/>
      <w:bookmarkStart w:id="660" w:name="_Toc21746"/>
      <w:bookmarkStart w:id="661" w:name="_Toc28399"/>
      <w:bookmarkStart w:id="662" w:name="_Toc4906"/>
      <w:bookmarkStart w:id="663" w:name="_Toc12357"/>
      <w:r>
        <w:rPr>
          <w:rFonts w:hint="eastAsia" w:ascii="宋体" w:hAnsi="宋体" w:eastAsia="宋体" w:cs="宋体"/>
          <w:lang w:val="en-US" w:eastAsia="zh-CN"/>
        </w:rPr>
        <w:t>井控设备初次安装后，应对总闸门以上装置及工具串进行系统试压。</w:t>
      </w:r>
      <w:bookmarkEnd w:id="658"/>
      <w:bookmarkEnd w:id="659"/>
      <w:bookmarkEnd w:id="660"/>
      <w:bookmarkEnd w:id="661"/>
      <w:bookmarkEnd w:id="662"/>
      <w:bookmarkEnd w:id="663"/>
    </w:p>
    <w:p w14:paraId="2064CDB9">
      <w:pPr>
        <w:pStyle w:val="69"/>
        <w:numPr>
          <w:ilvl w:val="3"/>
          <w:numId w:val="2"/>
        </w:numPr>
        <w:spacing w:before="0" w:beforeLines="0" w:after="0" w:afterLines="0"/>
        <w:rPr>
          <w:rFonts w:hint="eastAsia" w:ascii="宋体" w:hAnsi="宋体" w:eastAsia="宋体" w:cs="宋体"/>
          <w:lang w:val="en-US" w:eastAsia="zh-CN"/>
        </w:rPr>
      </w:pPr>
      <w:bookmarkStart w:id="664" w:name="_Toc15066"/>
      <w:bookmarkStart w:id="665" w:name="_Toc8064"/>
      <w:bookmarkStart w:id="666" w:name="_Toc24352"/>
      <w:bookmarkStart w:id="667" w:name="_Toc29894"/>
      <w:bookmarkStart w:id="668" w:name="_Toc1955"/>
      <w:bookmarkStart w:id="669" w:name="_Toc24483"/>
      <w:r>
        <w:rPr>
          <w:rFonts w:hint="eastAsia" w:ascii="宋体" w:hAnsi="宋体" w:eastAsia="宋体" w:cs="宋体"/>
          <w:lang w:val="en-US" w:eastAsia="zh-CN"/>
        </w:rPr>
        <w:t>井控设备应按照预计最高施工压力和预测最高井口关井压力1.1倍两者的最大值进行试压。</w:t>
      </w:r>
      <w:bookmarkEnd w:id="664"/>
      <w:bookmarkEnd w:id="665"/>
      <w:bookmarkEnd w:id="666"/>
      <w:bookmarkEnd w:id="667"/>
      <w:bookmarkEnd w:id="668"/>
      <w:bookmarkEnd w:id="669"/>
    </w:p>
    <w:p w14:paraId="6C51F160">
      <w:pPr>
        <w:pStyle w:val="69"/>
        <w:numPr>
          <w:ilvl w:val="3"/>
          <w:numId w:val="2"/>
        </w:numPr>
        <w:spacing w:before="0" w:beforeLines="0" w:after="0" w:afterLines="0"/>
        <w:rPr>
          <w:rFonts w:hint="eastAsia" w:ascii="宋体" w:hAnsi="宋体" w:eastAsia="宋体" w:cs="宋体"/>
          <w:lang w:val="en-US" w:eastAsia="zh-CN"/>
        </w:rPr>
      </w:pPr>
      <w:bookmarkStart w:id="670" w:name="_Toc28431"/>
      <w:bookmarkStart w:id="671" w:name="_Toc14970"/>
      <w:bookmarkStart w:id="672" w:name="_Toc12432"/>
      <w:bookmarkStart w:id="673" w:name="_Toc26936"/>
      <w:bookmarkStart w:id="674" w:name="_Toc2860"/>
      <w:bookmarkStart w:id="675" w:name="_Toc4098"/>
      <w:r>
        <w:rPr>
          <w:rFonts w:hint="eastAsia" w:ascii="宋体" w:hAnsi="宋体" w:eastAsia="宋体" w:cs="宋体"/>
          <w:lang w:val="en-US" w:eastAsia="zh-CN"/>
        </w:rPr>
        <w:t>单流阀连接前应进行密封压力测试，单流阀和连续油管接头试压值应为预测最高井口关井压力的1.1倍。</w:t>
      </w:r>
      <w:bookmarkEnd w:id="670"/>
      <w:bookmarkEnd w:id="671"/>
      <w:bookmarkEnd w:id="672"/>
      <w:bookmarkEnd w:id="673"/>
      <w:bookmarkEnd w:id="674"/>
      <w:bookmarkEnd w:id="675"/>
    </w:p>
    <w:p w14:paraId="1DF6904C">
      <w:pPr>
        <w:pStyle w:val="69"/>
        <w:numPr>
          <w:ilvl w:val="3"/>
          <w:numId w:val="2"/>
        </w:numPr>
        <w:spacing w:before="0" w:beforeLines="0" w:after="0" w:afterLines="0"/>
        <w:rPr>
          <w:rFonts w:hint="eastAsia" w:ascii="宋体" w:hAnsi="宋体" w:eastAsia="宋体" w:cs="宋体"/>
          <w:lang w:val="en-US" w:eastAsia="zh-CN"/>
        </w:rPr>
      </w:pPr>
      <w:bookmarkStart w:id="676" w:name="_Toc28970"/>
      <w:bookmarkStart w:id="677" w:name="_Toc28590"/>
      <w:bookmarkStart w:id="678" w:name="_Toc12075"/>
      <w:bookmarkStart w:id="679" w:name="_Toc29309"/>
      <w:bookmarkStart w:id="680" w:name="_Toc2176"/>
      <w:bookmarkStart w:id="681" w:name="_Toc27526"/>
      <w:r>
        <w:rPr>
          <w:rFonts w:hint="eastAsia" w:ascii="宋体" w:hAnsi="宋体" w:eastAsia="宋体" w:cs="宋体"/>
          <w:lang w:val="en-US" w:eastAsia="zh-CN"/>
        </w:rPr>
        <w:t>注入头额定工作载荷不小于连续油管模拟计算最大上提力的1.25倍。</w:t>
      </w:r>
      <w:bookmarkEnd w:id="676"/>
      <w:bookmarkEnd w:id="677"/>
      <w:bookmarkEnd w:id="678"/>
      <w:bookmarkEnd w:id="679"/>
      <w:bookmarkEnd w:id="680"/>
      <w:bookmarkEnd w:id="681"/>
    </w:p>
    <w:p w14:paraId="7C1C368E">
      <w:pPr>
        <w:pStyle w:val="69"/>
        <w:numPr>
          <w:ilvl w:val="3"/>
          <w:numId w:val="2"/>
        </w:numPr>
        <w:spacing w:before="0" w:beforeLines="0" w:after="0" w:afterLines="0"/>
        <w:rPr>
          <w:rFonts w:hint="eastAsia" w:ascii="宋体" w:hAnsi="宋体" w:eastAsia="宋体" w:cs="宋体"/>
          <w:lang w:val="en-US" w:eastAsia="zh-CN"/>
        </w:rPr>
      </w:pPr>
      <w:bookmarkStart w:id="682" w:name="_Toc21016"/>
      <w:bookmarkStart w:id="683" w:name="_Toc18008"/>
      <w:bookmarkStart w:id="684" w:name="_Toc11487"/>
      <w:bookmarkStart w:id="685" w:name="_Toc24902"/>
      <w:bookmarkStart w:id="686" w:name="_Toc6700"/>
      <w:bookmarkStart w:id="687" w:name="_Toc31914"/>
      <w:r>
        <w:rPr>
          <w:rFonts w:hint="eastAsia" w:ascii="宋体" w:hAnsi="宋体" w:eastAsia="宋体" w:cs="宋体"/>
          <w:lang w:val="en-US" w:eastAsia="zh-CN"/>
        </w:rPr>
        <w:t>滚筒旋转接头与连续油管之间、泵送管线与滚筒旋转接头之间应装有旋塞阀。泵注设备应有超压停泵保护装置。</w:t>
      </w:r>
      <w:bookmarkEnd w:id="682"/>
      <w:bookmarkEnd w:id="683"/>
      <w:bookmarkEnd w:id="684"/>
      <w:bookmarkEnd w:id="685"/>
      <w:bookmarkEnd w:id="686"/>
      <w:bookmarkEnd w:id="687"/>
    </w:p>
    <w:p w14:paraId="45E9608F">
      <w:pPr>
        <w:pStyle w:val="69"/>
        <w:numPr>
          <w:ilvl w:val="3"/>
          <w:numId w:val="2"/>
        </w:numPr>
        <w:spacing w:before="0" w:beforeLines="0" w:after="0" w:afterLines="0"/>
        <w:rPr>
          <w:rFonts w:hint="eastAsia" w:ascii="宋体" w:hAnsi="宋体" w:eastAsia="宋体" w:cs="宋体"/>
          <w:lang w:val="en-US" w:eastAsia="zh-CN"/>
        </w:rPr>
      </w:pPr>
      <w:bookmarkStart w:id="688" w:name="_Toc9507"/>
      <w:bookmarkStart w:id="689" w:name="_Toc8170"/>
      <w:bookmarkStart w:id="690" w:name="_Toc7190"/>
      <w:bookmarkStart w:id="691" w:name="_Toc6062"/>
      <w:bookmarkStart w:id="692" w:name="_Toc9003"/>
      <w:bookmarkStart w:id="693" w:name="_Toc10054"/>
      <w:r>
        <w:rPr>
          <w:rFonts w:hint="eastAsia" w:ascii="宋体" w:hAnsi="宋体" w:eastAsia="宋体" w:cs="宋体"/>
          <w:lang w:val="en-US" w:eastAsia="zh-CN"/>
        </w:rPr>
        <w:t>作业过程中，应观察井口和循环压力变化，及时调节内外张紧力和自封压力。</w:t>
      </w:r>
      <w:bookmarkEnd w:id="688"/>
      <w:bookmarkEnd w:id="689"/>
      <w:bookmarkEnd w:id="690"/>
      <w:bookmarkEnd w:id="691"/>
      <w:bookmarkEnd w:id="692"/>
      <w:bookmarkEnd w:id="693"/>
    </w:p>
    <w:p w14:paraId="3E85C26D">
      <w:pPr>
        <w:pStyle w:val="69"/>
        <w:numPr>
          <w:ilvl w:val="3"/>
          <w:numId w:val="2"/>
        </w:numPr>
        <w:spacing w:before="0" w:beforeLines="0" w:after="0" w:afterLines="0"/>
        <w:rPr>
          <w:rFonts w:hint="eastAsia" w:ascii="宋体" w:hAnsi="宋体" w:eastAsia="宋体" w:cs="宋体"/>
          <w:lang w:val="en-US" w:eastAsia="zh-CN"/>
        </w:rPr>
      </w:pPr>
      <w:bookmarkStart w:id="694" w:name="_Toc9120"/>
      <w:bookmarkStart w:id="695" w:name="_Toc28720"/>
      <w:bookmarkStart w:id="696" w:name="_Toc10145"/>
      <w:bookmarkStart w:id="697" w:name="_Toc31217"/>
      <w:bookmarkStart w:id="698" w:name="_Toc22234"/>
      <w:bookmarkStart w:id="699" w:name="_Toc21191"/>
      <w:r>
        <w:rPr>
          <w:rFonts w:hint="eastAsia" w:ascii="宋体" w:hAnsi="宋体" w:eastAsia="宋体" w:cs="宋体"/>
          <w:lang w:val="en-US" w:eastAsia="zh-CN"/>
        </w:rPr>
        <w:t>关闭井口主阀前应确认工具串完全进入防喷管内；设备拆卸前，应确认井口主阀完全关闭，对连续油管、井口装置及地面管线泄压。</w:t>
      </w:r>
      <w:bookmarkEnd w:id="694"/>
      <w:bookmarkEnd w:id="695"/>
      <w:bookmarkEnd w:id="696"/>
      <w:bookmarkEnd w:id="697"/>
      <w:bookmarkEnd w:id="698"/>
      <w:bookmarkEnd w:id="699"/>
    </w:p>
    <w:p w14:paraId="30A81154">
      <w:pPr>
        <w:pStyle w:val="108"/>
        <w:spacing w:before="120" w:after="120"/>
        <w:rPr>
          <w:rFonts w:hint="eastAsia"/>
          <w:lang w:val="en-US" w:eastAsia="zh-CN"/>
        </w:rPr>
      </w:pPr>
      <w:bookmarkStart w:id="700" w:name="_Toc15132"/>
      <w:bookmarkStart w:id="701" w:name="_Toc14407"/>
      <w:bookmarkStart w:id="702" w:name="_Toc15876"/>
      <w:bookmarkStart w:id="703" w:name="_Toc26310"/>
      <w:r>
        <w:rPr>
          <w:rFonts w:hint="eastAsia"/>
          <w:lang w:val="en-US" w:eastAsia="zh-CN"/>
        </w:rPr>
        <w:t>诱喷/替喷</w:t>
      </w:r>
      <w:bookmarkEnd w:id="700"/>
      <w:bookmarkEnd w:id="701"/>
      <w:bookmarkEnd w:id="702"/>
      <w:bookmarkEnd w:id="703"/>
    </w:p>
    <w:p w14:paraId="2D6E0271">
      <w:pPr>
        <w:pStyle w:val="69"/>
        <w:numPr>
          <w:ilvl w:val="3"/>
          <w:numId w:val="2"/>
        </w:numPr>
        <w:spacing w:before="0" w:beforeLines="0" w:after="0" w:afterLines="0"/>
        <w:rPr>
          <w:rFonts w:hint="eastAsia" w:ascii="宋体" w:hAnsi="宋体" w:eastAsia="宋体" w:cs="宋体"/>
          <w:lang w:val="en-US" w:eastAsia="zh-CN"/>
        </w:rPr>
      </w:pPr>
      <w:bookmarkStart w:id="704" w:name="_Toc25244"/>
      <w:bookmarkStart w:id="705" w:name="_Toc20772"/>
      <w:bookmarkStart w:id="706" w:name="_Toc24338"/>
      <w:bookmarkStart w:id="707" w:name="_Toc32335"/>
      <w:bookmarkStart w:id="708" w:name="_Toc10760"/>
      <w:bookmarkStart w:id="709" w:name="_Toc24025"/>
      <w:r>
        <w:rPr>
          <w:rFonts w:hint="eastAsia" w:ascii="宋体" w:hAnsi="宋体" w:eastAsia="宋体" w:cs="宋体"/>
          <w:lang w:val="en-US" w:eastAsia="zh-CN"/>
        </w:rPr>
        <w:t>高温高压井、高含硫化氢天然气井不应在夜间进行诱喷作业。特殊工况需夜间作业的，应升级作业许可、增加现场监护及应急力量。</w:t>
      </w:r>
      <w:bookmarkEnd w:id="704"/>
      <w:bookmarkEnd w:id="705"/>
      <w:bookmarkEnd w:id="706"/>
      <w:bookmarkEnd w:id="707"/>
      <w:bookmarkEnd w:id="708"/>
      <w:bookmarkEnd w:id="709"/>
    </w:p>
    <w:p w14:paraId="308A4C1F">
      <w:pPr>
        <w:pStyle w:val="69"/>
        <w:numPr>
          <w:ilvl w:val="3"/>
          <w:numId w:val="2"/>
        </w:numPr>
        <w:spacing w:before="0" w:beforeLines="0" w:after="0" w:afterLines="0"/>
        <w:rPr>
          <w:rFonts w:hint="eastAsia" w:ascii="宋体" w:hAnsi="宋体" w:eastAsia="宋体" w:cs="宋体"/>
          <w:lang w:val="en-US" w:eastAsia="zh-CN"/>
        </w:rPr>
      </w:pPr>
      <w:bookmarkStart w:id="710" w:name="_Toc11301"/>
      <w:bookmarkStart w:id="711" w:name="_Toc3560"/>
      <w:bookmarkStart w:id="712" w:name="_Toc4699"/>
      <w:bookmarkStart w:id="713" w:name="_Toc24700"/>
      <w:bookmarkStart w:id="714" w:name="_Toc3650"/>
      <w:bookmarkStart w:id="715" w:name="_Toc24389"/>
      <w:r>
        <w:rPr>
          <w:rFonts w:hint="eastAsia" w:ascii="宋体" w:hAnsi="宋体" w:eastAsia="宋体" w:cs="宋体"/>
          <w:lang w:val="en-US" w:eastAsia="zh-CN"/>
        </w:rPr>
        <w:t>施工目的层为气层或含有硫化氢的油气井不应使用抽汲方式进行诱喷作业。</w:t>
      </w:r>
      <w:bookmarkEnd w:id="710"/>
      <w:bookmarkEnd w:id="711"/>
      <w:bookmarkEnd w:id="712"/>
      <w:bookmarkEnd w:id="713"/>
      <w:bookmarkEnd w:id="714"/>
      <w:bookmarkEnd w:id="715"/>
    </w:p>
    <w:p w14:paraId="466CB4B8">
      <w:pPr>
        <w:pStyle w:val="69"/>
        <w:numPr>
          <w:ilvl w:val="3"/>
          <w:numId w:val="2"/>
        </w:numPr>
        <w:spacing w:before="0" w:beforeLines="0" w:after="0" w:afterLines="0"/>
        <w:rPr>
          <w:rFonts w:hint="eastAsia" w:ascii="宋体" w:hAnsi="宋体" w:eastAsia="宋体" w:cs="宋体"/>
          <w:lang w:val="en-US" w:eastAsia="zh-CN"/>
        </w:rPr>
      </w:pPr>
      <w:bookmarkStart w:id="716" w:name="_Toc8635"/>
      <w:bookmarkStart w:id="717" w:name="_Toc23107"/>
      <w:bookmarkStart w:id="718" w:name="_Toc4949"/>
      <w:bookmarkStart w:id="719" w:name="_Toc5510"/>
      <w:bookmarkStart w:id="720" w:name="_Toc14021"/>
      <w:bookmarkStart w:id="721" w:name="_Toc14091"/>
      <w:r>
        <w:rPr>
          <w:rFonts w:hint="eastAsia" w:ascii="宋体" w:hAnsi="宋体" w:eastAsia="宋体" w:cs="宋体"/>
          <w:lang w:val="en-US" w:eastAsia="zh-CN"/>
        </w:rPr>
        <w:t>实施气举作业不应使用空气作为介质，气举诱喷作业最大掏空深度不应超过套管或油管允许最大掏空深度。</w:t>
      </w:r>
      <w:bookmarkEnd w:id="716"/>
      <w:bookmarkEnd w:id="717"/>
      <w:bookmarkEnd w:id="718"/>
      <w:bookmarkEnd w:id="719"/>
      <w:bookmarkEnd w:id="720"/>
      <w:bookmarkEnd w:id="721"/>
    </w:p>
    <w:p w14:paraId="4A066885">
      <w:pPr>
        <w:pStyle w:val="69"/>
        <w:numPr>
          <w:ilvl w:val="3"/>
          <w:numId w:val="2"/>
        </w:numPr>
        <w:spacing w:before="0" w:beforeLines="0" w:after="0" w:afterLines="0"/>
        <w:rPr>
          <w:rFonts w:hint="eastAsia" w:ascii="宋体" w:hAnsi="宋体" w:eastAsia="宋体" w:cs="宋体"/>
          <w:lang w:val="en-US" w:eastAsia="zh-CN"/>
        </w:rPr>
      </w:pPr>
      <w:bookmarkStart w:id="722" w:name="_Toc25891"/>
      <w:bookmarkStart w:id="723" w:name="_Toc17263"/>
      <w:bookmarkStart w:id="724" w:name="_Toc24989"/>
      <w:bookmarkStart w:id="725" w:name="_Toc22414"/>
      <w:bookmarkStart w:id="726" w:name="_Toc23388"/>
      <w:bookmarkStart w:id="727" w:name="_Toc1230"/>
      <w:r>
        <w:rPr>
          <w:rFonts w:hint="eastAsia" w:ascii="宋体" w:hAnsi="宋体" w:eastAsia="宋体" w:cs="宋体"/>
          <w:lang w:val="en-US" w:eastAsia="zh-CN"/>
        </w:rPr>
        <w:t>经气举诱喷后无法自喷的井，施工结束后，应控制放出井内气体。</w:t>
      </w:r>
      <w:bookmarkEnd w:id="722"/>
      <w:bookmarkEnd w:id="723"/>
      <w:bookmarkEnd w:id="724"/>
      <w:bookmarkEnd w:id="725"/>
      <w:bookmarkEnd w:id="726"/>
      <w:bookmarkEnd w:id="727"/>
    </w:p>
    <w:p w14:paraId="769A4207">
      <w:pPr>
        <w:pStyle w:val="69"/>
        <w:numPr>
          <w:ilvl w:val="3"/>
          <w:numId w:val="2"/>
        </w:numPr>
        <w:spacing w:before="0" w:beforeLines="0" w:after="0" w:afterLines="0"/>
        <w:rPr>
          <w:rFonts w:hint="eastAsia" w:ascii="宋体" w:hAnsi="宋体" w:eastAsia="宋体" w:cs="宋体"/>
          <w:lang w:val="en-US" w:eastAsia="zh-CN"/>
        </w:rPr>
      </w:pPr>
      <w:bookmarkStart w:id="728" w:name="_Toc26060"/>
      <w:bookmarkStart w:id="729" w:name="_Toc29122"/>
      <w:bookmarkStart w:id="730" w:name="_Toc8368"/>
      <w:bookmarkStart w:id="731" w:name="_Toc9591"/>
      <w:bookmarkStart w:id="732" w:name="_Toc17902"/>
      <w:bookmarkStart w:id="733" w:name="_Toc21166"/>
      <w:r>
        <w:rPr>
          <w:rFonts w:hint="eastAsia" w:ascii="宋体" w:hAnsi="宋体" w:eastAsia="宋体" w:cs="宋体"/>
          <w:lang w:val="en-US" w:eastAsia="zh-CN"/>
        </w:rPr>
        <w:t>替喷作业应根据压井液密度、套管抗内压强度、井口装置等情况，选定适宜的替喷液密度；替喷前应对井口装置、替喷管线、放喷管线等进行试压检查；替喷过程中应记录返出流体的性质和体积。</w:t>
      </w:r>
      <w:bookmarkEnd w:id="728"/>
      <w:bookmarkEnd w:id="729"/>
      <w:bookmarkEnd w:id="730"/>
      <w:bookmarkEnd w:id="731"/>
      <w:bookmarkEnd w:id="732"/>
      <w:bookmarkEnd w:id="733"/>
    </w:p>
    <w:p w14:paraId="00D5C94C">
      <w:pPr>
        <w:pStyle w:val="69"/>
        <w:numPr>
          <w:ilvl w:val="3"/>
          <w:numId w:val="2"/>
        </w:numPr>
        <w:spacing w:before="0" w:beforeLines="0" w:after="0" w:afterLines="0"/>
        <w:rPr>
          <w:rFonts w:hint="eastAsia" w:ascii="宋体" w:hAnsi="宋体" w:eastAsia="宋体" w:cs="宋体"/>
          <w:lang w:val="en-US" w:eastAsia="zh-CN"/>
        </w:rPr>
      </w:pPr>
      <w:bookmarkStart w:id="734" w:name="_Toc15618"/>
      <w:bookmarkStart w:id="735" w:name="_Toc28724"/>
      <w:bookmarkStart w:id="736" w:name="_Toc23403"/>
      <w:bookmarkStart w:id="737" w:name="_Toc2692"/>
      <w:bookmarkStart w:id="738" w:name="_Toc23642"/>
      <w:bookmarkStart w:id="739" w:name="_Toc8773"/>
      <w:r>
        <w:rPr>
          <w:rFonts w:hint="eastAsia" w:ascii="宋体" w:hAnsi="宋体" w:eastAsia="宋体" w:cs="宋体"/>
          <w:lang w:val="en-US" w:eastAsia="zh-CN"/>
        </w:rPr>
        <w:t>替喷出口排量大于进口排量时，应使用油嘴或节流阀控制出口排量。</w:t>
      </w:r>
      <w:bookmarkEnd w:id="734"/>
      <w:bookmarkEnd w:id="735"/>
      <w:bookmarkEnd w:id="736"/>
      <w:bookmarkEnd w:id="737"/>
      <w:bookmarkEnd w:id="738"/>
      <w:bookmarkEnd w:id="739"/>
    </w:p>
    <w:p w14:paraId="2A389742">
      <w:pPr>
        <w:pStyle w:val="108"/>
        <w:spacing w:before="120" w:after="120"/>
        <w:rPr>
          <w:rFonts w:hint="eastAsia"/>
          <w:lang w:val="en-US" w:eastAsia="zh-CN"/>
        </w:rPr>
      </w:pPr>
      <w:bookmarkStart w:id="740" w:name="_Toc8253"/>
      <w:bookmarkStart w:id="741" w:name="_Toc984"/>
      <w:bookmarkStart w:id="742" w:name="_Toc16413"/>
      <w:bookmarkStart w:id="743" w:name="_Toc22579"/>
      <w:r>
        <w:rPr>
          <w:rFonts w:hint="eastAsia"/>
          <w:lang w:val="en-US" w:eastAsia="zh-CN"/>
        </w:rPr>
        <w:t>试油（气）</w:t>
      </w:r>
      <w:bookmarkEnd w:id="740"/>
      <w:bookmarkEnd w:id="741"/>
      <w:bookmarkEnd w:id="742"/>
      <w:bookmarkEnd w:id="743"/>
    </w:p>
    <w:p w14:paraId="7762CCF7">
      <w:pPr>
        <w:pStyle w:val="69"/>
        <w:numPr>
          <w:ilvl w:val="3"/>
          <w:numId w:val="2"/>
        </w:numPr>
        <w:spacing w:before="0" w:beforeLines="0" w:after="0" w:afterLines="0"/>
        <w:rPr>
          <w:rFonts w:hint="eastAsia" w:ascii="宋体" w:hAnsi="宋体" w:eastAsia="宋体" w:cs="宋体"/>
          <w:highlight w:val="none"/>
          <w:lang w:val="en-US" w:eastAsia="zh-CN"/>
        </w:rPr>
      </w:pPr>
      <w:bookmarkStart w:id="744" w:name="_Toc8113"/>
      <w:bookmarkStart w:id="745" w:name="_Toc32594"/>
      <w:bookmarkStart w:id="746" w:name="_Toc14018"/>
      <w:bookmarkStart w:id="747" w:name="_Toc11377"/>
      <w:bookmarkStart w:id="748" w:name="_Toc32019"/>
      <w:bookmarkStart w:id="749" w:name="_Toc23860"/>
      <w:r>
        <w:rPr>
          <w:rFonts w:hint="eastAsia" w:ascii="宋体" w:hAnsi="宋体" w:eastAsia="宋体" w:cs="宋体"/>
          <w:highlight w:val="none"/>
          <w:lang w:val="en-US" w:eastAsia="zh-CN"/>
        </w:rPr>
        <w:t>含硫化氢天然气井试油（气）作业应在白天开井，作业前应配置硫化氢防护装备，并落实应急处置措施，作业区域应进行隔离警示。</w:t>
      </w:r>
      <w:bookmarkEnd w:id="744"/>
      <w:bookmarkEnd w:id="745"/>
      <w:bookmarkEnd w:id="746"/>
      <w:bookmarkEnd w:id="747"/>
      <w:bookmarkEnd w:id="748"/>
      <w:bookmarkEnd w:id="749"/>
    </w:p>
    <w:p w14:paraId="156A5EDC">
      <w:pPr>
        <w:pStyle w:val="69"/>
        <w:numPr>
          <w:ilvl w:val="3"/>
          <w:numId w:val="2"/>
        </w:numPr>
        <w:spacing w:before="0" w:beforeLines="0" w:after="0" w:afterLines="0"/>
        <w:rPr>
          <w:rFonts w:hint="eastAsia" w:ascii="宋体" w:hAnsi="宋体" w:eastAsia="宋体" w:cs="宋体"/>
          <w:lang w:val="en-US" w:eastAsia="zh-CN"/>
        </w:rPr>
      </w:pPr>
      <w:bookmarkStart w:id="750" w:name="_Toc2891"/>
      <w:bookmarkStart w:id="751" w:name="_Toc18151"/>
      <w:bookmarkStart w:id="752" w:name="_Toc24659"/>
      <w:bookmarkStart w:id="753" w:name="_Toc5979"/>
      <w:bookmarkStart w:id="754" w:name="_Toc22759"/>
      <w:bookmarkStart w:id="755" w:name="_Toc4601"/>
      <w:r>
        <w:rPr>
          <w:rFonts w:hint="eastAsia" w:ascii="宋体" w:hAnsi="宋体" w:eastAsia="宋体" w:cs="宋体"/>
          <w:lang w:val="en-US" w:eastAsia="zh-CN"/>
        </w:rPr>
        <w:t>采用移动式钻（修）井</w:t>
      </w:r>
      <w:r>
        <w:rPr>
          <w:rFonts w:hint="eastAsia" w:ascii="宋体" w:hAnsi="宋体" w:eastAsia="宋体" w:cs="宋体"/>
          <w:color w:val="auto"/>
          <w:lang w:val="en-US" w:eastAsia="zh-CN"/>
        </w:rPr>
        <w:t>平台进行试油（气）放喷作业，应至少于平台常年主导风向的下风向安装燃烧臂，点火装置功能完好</w:t>
      </w:r>
      <w:bookmarkEnd w:id="750"/>
      <w:r>
        <w:rPr>
          <w:rFonts w:hint="eastAsia" w:ascii="宋体" w:hAnsi="宋体" w:eastAsia="宋体" w:cs="宋体"/>
          <w:color w:val="auto"/>
          <w:lang w:val="en-US" w:eastAsia="zh-CN"/>
        </w:rPr>
        <w:t>；</w:t>
      </w:r>
      <w:r>
        <w:rPr>
          <w:rFonts w:hint="eastAsia" w:ascii="宋体" w:hAnsi="宋体" w:eastAsia="宋体" w:cs="宋体"/>
          <w:color w:val="auto"/>
          <w:szCs w:val="21"/>
          <w:lang w:val="en-US" w:eastAsia="zh-CN"/>
        </w:rPr>
        <w:t>滩海修井机进行</w:t>
      </w:r>
      <w:r>
        <w:rPr>
          <w:rFonts w:hint="eastAsia" w:ascii="宋体" w:hAnsi="宋体" w:eastAsia="宋体" w:cs="宋体"/>
          <w:color w:val="auto"/>
          <w:lang w:val="en-US" w:eastAsia="zh-CN"/>
        </w:rPr>
        <w:t>试油（气）放喷作业，应配备</w:t>
      </w:r>
      <w:r>
        <w:rPr>
          <w:rFonts w:hint="eastAsia" w:ascii="宋体" w:hAnsi="宋体" w:eastAsia="宋体" w:cs="宋体"/>
          <w:color w:val="auto"/>
          <w:highlight w:val="none"/>
        </w:rPr>
        <w:t>自动点火装置</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并备用手动点火器具，</w:t>
      </w:r>
      <w:r>
        <w:rPr>
          <w:rFonts w:hint="eastAsia" w:ascii="宋体" w:hAnsi="宋体" w:eastAsia="宋体" w:cs="宋体"/>
          <w:color w:val="auto"/>
          <w:szCs w:val="21"/>
          <w:lang w:val="en-US" w:eastAsia="zh-CN"/>
        </w:rPr>
        <w:t>火炬出口应位于</w:t>
      </w:r>
      <w:r>
        <w:rPr>
          <w:rFonts w:hint="eastAsia" w:ascii="宋体" w:hAnsi="宋体" w:eastAsia="宋体" w:cs="宋体"/>
          <w:color w:val="auto"/>
          <w:lang w:val="en-US" w:eastAsia="zh-CN"/>
        </w:rPr>
        <w:t>常年主导风向的下风向，点火口应远离易燃易爆品和人员聚集区域。</w:t>
      </w:r>
      <w:bookmarkEnd w:id="751"/>
      <w:bookmarkEnd w:id="752"/>
      <w:bookmarkEnd w:id="753"/>
      <w:bookmarkEnd w:id="754"/>
      <w:bookmarkEnd w:id="755"/>
    </w:p>
    <w:p w14:paraId="788B4206">
      <w:pPr>
        <w:pStyle w:val="69"/>
        <w:numPr>
          <w:ilvl w:val="3"/>
          <w:numId w:val="2"/>
        </w:numPr>
        <w:spacing w:before="0" w:beforeLines="0" w:after="0" w:afterLines="0"/>
        <w:rPr>
          <w:rFonts w:hint="eastAsia" w:ascii="宋体" w:hAnsi="宋体" w:eastAsia="宋体" w:cs="宋体"/>
          <w:lang w:val="en-US" w:eastAsia="zh-CN"/>
        </w:rPr>
      </w:pPr>
      <w:bookmarkStart w:id="756" w:name="_Toc28150"/>
      <w:bookmarkStart w:id="757" w:name="_Toc25847"/>
      <w:bookmarkStart w:id="758" w:name="_Toc21943"/>
      <w:bookmarkStart w:id="759" w:name="_Toc9113"/>
      <w:bookmarkStart w:id="760" w:name="_Toc30244"/>
      <w:bookmarkStart w:id="761" w:name="_Toc20634"/>
      <w:r>
        <w:rPr>
          <w:rFonts w:hint="eastAsia" w:ascii="宋体" w:hAnsi="宋体" w:eastAsia="宋体" w:cs="宋体"/>
          <w:lang w:val="en-US" w:eastAsia="zh-CN"/>
        </w:rPr>
        <w:t>燃烧器燃烧期间，应定时检测平台受热甲板边缘的空气温度，并控制在安全限度内。</w:t>
      </w:r>
      <w:bookmarkEnd w:id="756"/>
      <w:bookmarkEnd w:id="757"/>
      <w:bookmarkEnd w:id="758"/>
      <w:bookmarkEnd w:id="759"/>
      <w:bookmarkEnd w:id="760"/>
      <w:bookmarkEnd w:id="761"/>
    </w:p>
    <w:p w14:paraId="441D994A">
      <w:pPr>
        <w:pStyle w:val="69"/>
        <w:numPr>
          <w:ilvl w:val="3"/>
          <w:numId w:val="2"/>
        </w:numPr>
        <w:spacing w:before="0" w:beforeLines="0" w:after="0" w:afterLines="0"/>
        <w:rPr>
          <w:rFonts w:hint="eastAsia" w:ascii="宋体" w:hAnsi="宋体" w:eastAsia="宋体" w:cs="宋体"/>
          <w:lang w:val="en-US" w:eastAsia="zh-CN"/>
        </w:rPr>
      </w:pPr>
      <w:bookmarkStart w:id="762" w:name="_Toc29258"/>
      <w:bookmarkStart w:id="763" w:name="_Toc11938"/>
      <w:bookmarkStart w:id="764" w:name="_Toc15160"/>
      <w:bookmarkStart w:id="765" w:name="_Toc11966"/>
      <w:bookmarkStart w:id="766" w:name="_Toc524"/>
      <w:bookmarkStart w:id="767" w:name="_Toc7340"/>
      <w:r>
        <w:rPr>
          <w:rFonts w:hint="eastAsia" w:ascii="宋体" w:hAnsi="宋体" w:eastAsia="宋体" w:cs="宋体"/>
          <w:lang w:val="en-US" w:eastAsia="zh-CN"/>
        </w:rPr>
        <w:t>放喷测试期间，应持续监测返出井液情况、硫化氢含量和试油区域可燃气体及有毒有害气体浓度，若发现泄漏，应启动应急关断装置，中止测试。</w:t>
      </w:r>
      <w:bookmarkEnd w:id="762"/>
      <w:bookmarkEnd w:id="763"/>
      <w:bookmarkEnd w:id="764"/>
      <w:bookmarkEnd w:id="765"/>
      <w:bookmarkEnd w:id="766"/>
      <w:bookmarkEnd w:id="767"/>
    </w:p>
    <w:p w14:paraId="4BC5FA3C">
      <w:pPr>
        <w:pStyle w:val="69"/>
        <w:numPr>
          <w:ilvl w:val="3"/>
          <w:numId w:val="2"/>
        </w:numPr>
        <w:spacing w:before="0" w:beforeLines="0" w:after="0" w:afterLines="0"/>
        <w:rPr>
          <w:rFonts w:hint="eastAsia" w:ascii="宋体" w:hAnsi="宋体" w:eastAsia="宋体" w:cs="宋体"/>
          <w:lang w:val="en-US" w:eastAsia="zh-CN"/>
        </w:rPr>
      </w:pPr>
      <w:bookmarkStart w:id="768" w:name="_Toc22849"/>
      <w:bookmarkStart w:id="769" w:name="_Toc6384"/>
      <w:bookmarkStart w:id="770" w:name="_Toc4254"/>
      <w:bookmarkStart w:id="771" w:name="_Toc4204"/>
      <w:bookmarkStart w:id="772" w:name="_Toc24579"/>
      <w:bookmarkStart w:id="773" w:name="_Toc11121"/>
      <w:r>
        <w:rPr>
          <w:rFonts w:hint="eastAsia" w:ascii="宋体" w:hAnsi="宋体" w:eastAsia="宋体" w:cs="宋体"/>
          <w:lang w:val="en-US" w:eastAsia="zh-CN"/>
        </w:rPr>
        <w:t>试油地面流程应配备应急关断系统，并对水合物抑制剂储罐区的温度变化进行持续监测。</w:t>
      </w:r>
      <w:bookmarkEnd w:id="768"/>
      <w:bookmarkEnd w:id="769"/>
      <w:bookmarkEnd w:id="770"/>
      <w:bookmarkEnd w:id="771"/>
      <w:bookmarkEnd w:id="772"/>
      <w:bookmarkEnd w:id="773"/>
    </w:p>
    <w:p w14:paraId="66E79FE5">
      <w:pPr>
        <w:pStyle w:val="69"/>
        <w:numPr>
          <w:ilvl w:val="3"/>
          <w:numId w:val="2"/>
        </w:numPr>
        <w:spacing w:before="0" w:beforeLines="0" w:after="0" w:afterLines="0"/>
        <w:rPr>
          <w:rFonts w:hint="eastAsia" w:ascii="宋体" w:hAnsi="宋体" w:eastAsia="宋体" w:cs="宋体"/>
          <w:lang w:val="en-US" w:eastAsia="zh-CN"/>
        </w:rPr>
      </w:pPr>
      <w:bookmarkStart w:id="774" w:name="_Toc19311"/>
      <w:bookmarkStart w:id="775" w:name="_Toc24421"/>
      <w:bookmarkStart w:id="776" w:name="_Toc22951"/>
      <w:bookmarkStart w:id="777" w:name="_Toc9364"/>
      <w:bookmarkStart w:id="778" w:name="_Toc2395"/>
      <w:bookmarkStart w:id="779" w:name="_Toc31616"/>
      <w:r>
        <w:rPr>
          <w:rFonts w:hint="eastAsia" w:ascii="宋体" w:hAnsi="宋体" w:eastAsia="宋体" w:cs="宋体"/>
          <w:lang w:val="en-US" w:eastAsia="zh-CN"/>
        </w:rPr>
        <w:t>采用浮式钻井装置试油应使用水下坐落管柱，具备应急解脱、防喷、管柱内剪切及化学药剂注入功能；对浮式钻井装置相对水下井口的偏移角度和升沉高度进行监测，根据偏移范围采取相应控制措施。</w:t>
      </w:r>
      <w:bookmarkEnd w:id="774"/>
      <w:bookmarkEnd w:id="775"/>
      <w:bookmarkEnd w:id="776"/>
      <w:bookmarkEnd w:id="777"/>
      <w:bookmarkEnd w:id="778"/>
      <w:bookmarkEnd w:id="779"/>
    </w:p>
    <w:p w14:paraId="153E9F0A">
      <w:pPr>
        <w:pStyle w:val="107"/>
        <w:spacing w:before="240" w:after="240"/>
        <w:rPr>
          <w:highlight w:val="none"/>
        </w:rPr>
      </w:pPr>
      <w:bookmarkStart w:id="780" w:name="_Toc12022"/>
      <w:bookmarkStart w:id="781" w:name="_Toc22490"/>
      <w:bookmarkStart w:id="782" w:name="_Toc7728"/>
      <w:bookmarkStart w:id="783" w:name="_Toc3566"/>
      <w:r>
        <w:rPr>
          <w:rFonts w:hint="eastAsia"/>
          <w:highlight w:val="none"/>
          <w:lang w:val="en-US" w:eastAsia="zh-CN"/>
        </w:rPr>
        <w:t>消防与救逃生</w:t>
      </w:r>
      <w:bookmarkEnd w:id="780"/>
      <w:bookmarkEnd w:id="781"/>
      <w:bookmarkEnd w:id="782"/>
      <w:bookmarkEnd w:id="783"/>
    </w:p>
    <w:p w14:paraId="4CBD4865">
      <w:pPr>
        <w:pStyle w:val="165"/>
        <w:numPr>
          <w:ilvl w:val="2"/>
          <w:numId w:val="2"/>
        </w:numPr>
        <w:ind w:left="0"/>
        <w:rPr>
          <w:rFonts w:hint="eastAsia" w:ascii="宋体" w:hAnsi="宋体" w:eastAsia="宋体" w:cs="宋体"/>
          <w:bCs/>
          <w:color w:val="auto"/>
          <w:szCs w:val="32"/>
          <w:highlight w:val="none"/>
        </w:rPr>
      </w:pPr>
      <w:bookmarkStart w:id="784" w:name="_Toc9993"/>
      <w:r>
        <w:rPr>
          <w:rFonts w:hint="eastAsia" w:ascii="宋体" w:hAnsi="宋体" w:eastAsia="宋体" w:cs="宋体"/>
          <w:bCs/>
          <w:szCs w:val="32"/>
          <w:highlight w:val="none"/>
        </w:rPr>
        <w:t>消防与救逃生</w:t>
      </w:r>
      <w:r>
        <w:rPr>
          <w:rFonts w:hint="eastAsia" w:hAnsi="宋体" w:cs="宋体"/>
          <w:bCs/>
          <w:szCs w:val="32"/>
          <w:highlight w:val="none"/>
          <w:lang w:val="en-US" w:eastAsia="zh-CN"/>
        </w:rPr>
        <w:t>管理要求应参照AQ ****-2026执行。</w:t>
      </w:r>
    </w:p>
    <w:p w14:paraId="4EE63F45">
      <w:pPr>
        <w:pStyle w:val="165"/>
        <w:numPr>
          <w:ilvl w:val="2"/>
          <w:numId w:val="2"/>
        </w:numPr>
        <w:ind w:left="0"/>
        <w:rPr>
          <w:rFonts w:hint="eastAsia" w:ascii="宋体" w:hAnsi="宋体" w:eastAsia="宋体" w:cs="宋体"/>
          <w:bCs/>
          <w:color w:val="auto"/>
          <w:szCs w:val="32"/>
          <w:highlight w:val="none"/>
        </w:rPr>
      </w:pPr>
      <w:r>
        <w:rPr>
          <w:rFonts w:hint="eastAsia" w:hAnsi="宋体" w:cs="宋体"/>
          <w:color w:val="auto"/>
          <w:highlight w:val="none"/>
          <w:lang w:val="en-US" w:eastAsia="zh-CN"/>
        </w:rPr>
        <w:t>对于滩海陆岸、人工岛井下作业，</w:t>
      </w:r>
      <w:r>
        <w:rPr>
          <w:rFonts w:hint="eastAsia" w:ascii="宋体" w:hAnsi="宋体" w:eastAsia="宋体" w:cs="宋体"/>
          <w:color w:val="auto"/>
          <w:highlight w:val="none"/>
          <w:lang w:val="en-US" w:eastAsia="zh-CN"/>
        </w:rPr>
        <w:t>安装液气分离器的井场应</w:t>
      </w:r>
      <w:r>
        <w:rPr>
          <w:rFonts w:hint="eastAsia" w:ascii="宋体" w:hAnsi="宋体" w:eastAsia="宋体" w:cs="宋体"/>
          <w:color w:val="auto"/>
          <w:highlight w:val="none"/>
        </w:rPr>
        <w:t>配备自动点火装置</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并备用手动点火器具</w:t>
      </w:r>
      <w:r>
        <w:rPr>
          <w:rFonts w:hint="eastAsia" w:ascii="宋体" w:hAnsi="宋体" w:eastAsia="宋体" w:cs="宋体"/>
          <w:color w:val="auto"/>
          <w:highlight w:val="none"/>
        </w:rPr>
        <w:t>。</w:t>
      </w:r>
    </w:p>
    <w:bookmarkEnd w:id="784"/>
    <w:p w14:paraId="496AB5D5">
      <w:pPr>
        <w:pStyle w:val="107"/>
        <w:spacing w:before="240" w:after="240"/>
        <w:rPr>
          <w:rFonts w:hint="eastAsia" w:hAnsi="黑体"/>
          <w:bCs/>
          <w:color w:val="000000"/>
          <w:szCs w:val="21"/>
        </w:rPr>
      </w:pPr>
      <w:bookmarkStart w:id="785" w:name="_Toc21265"/>
      <w:bookmarkStart w:id="786" w:name="_Toc14333"/>
      <w:bookmarkStart w:id="787" w:name="_Toc6056"/>
      <w:bookmarkStart w:id="788" w:name="_Toc24461"/>
      <w:r>
        <w:rPr>
          <w:rFonts w:hint="eastAsia" w:hAnsi="黑体"/>
          <w:bCs/>
          <w:color w:val="000000"/>
          <w:szCs w:val="21"/>
        </w:rPr>
        <w:t>防火防爆</w:t>
      </w:r>
      <w:bookmarkEnd w:id="785"/>
      <w:bookmarkEnd w:id="786"/>
      <w:bookmarkEnd w:id="787"/>
      <w:bookmarkEnd w:id="788"/>
    </w:p>
    <w:p w14:paraId="6797808D">
      <w:pPr>
        <w:pStyle w:val="165"/>
        <w:numPr>
          <w:ilvl w:val="2"/>
          <w:numId w:val="2"/>
        </w:numPr>
        <w:ind w:left="0"/>
        <w:rPr>
          <w:rFonts w:hint="eastAsia" w:hAnsi="宋体"/>
          <w:highlight w:val="none"/>
        </w:rPr>
      </w:pPr>
      <w:r>
        <w:rPr>
          <w:rFonts w:hint="eastAsia" w:hAnsi="宋体"/>
          <w:highlight w:val="none"/>
          <w:lang w:val="en-US" w:eastAsia="zh-CN"/>
        </w:rPr>
        <w:t>防火防爆要求应参照</w:t>
      </w:r>
      <w:r>
        <w:rPr>
          <w:rFonts w:hint="eastAsia" w:hAnsi="宋体" w:cs="宋体"/>
          <w:bCs/>
          <w:szCs w:val="32"/>
          <w:highlight w:val="none"/>
          <w:lang w:val="en-US" w:eastAsia="zh-CN"/>
        </w:rPr>
        <w:t>AQ ****-2026执行</w:t>
      </w:r>
      <w:r>
        <w:rPr>
          <w:rFonts w:hint="eastAsia" w:hAnsi="宋体"/>
          <w:highlight w:val="none"/>
          <w:lang w:eastAsia="zh-CN"/>
        </w:rPr>
        <w:t>。</w:t>
      </w:r>
    </w:p>
    <w:bookmarkEnd w:id="567"/>
    <w:p w14:paraId="41289F2F">
      <w:pPr>
        <w:pStyle w:val="107"/>
        <w:spacing w:before="240" w:after="240"/>
      </w:pPr>
      <w:bookmarkStart w:id="789" w:name="_Toc7218"/>
      <w:bookmarkStart w:id="790" w:name="_Toc19094"/>
      <w:bookmarkStart w:id="791" w:name="_Toc7561"/>
      <w:bookmarkStart w:id="792" w:name="_Toc4299"/>
      <w:r>
        <w:rPr>
          <w:rFonts w:hint="eastAsia"/>
          <w:lang w:eastAsia="zh-CN"/>
        </w:rPr>
        <w:t>应急管理</w:t>
      </w:r>
      <w:bookmarkEnd w:id="789"/>
      <w:bookmarkEnd w:id="790"/>
      <w:bookmarkEnd w:id="791"/>
      <w:bookmarkEnd w:id="792"/>
    </w:p>
    <w:p w14:paraId="392C3A5C">
      <w:pPr>
        <w:pStyle w:val="69"/>
        <w:numPr>
          <w:ilvl w:val="3"/>
          <w:numId w:val="2"/>
        </w:numPr>
        <w:spacing w:before="0" w:beforeLines="0" w:after="0" w:afterLines="0"/>
        <w:rPr>
          <w:rFonts w:hint="eastAsia" w:ascii="宋体" w:hAnsi="宋体" w:eastAsia="宋体" w:cs="宋体"/>
          <w:highlight w:val="none"/>
          <w:u w:val="none"/>
          <w:lang w:val="en-US" w:eastAsia="zh-CN"/>
        </w:rPr>
      </w:pPr>
      <w:bookmarkStart w:id="793" w:name="_Toc3207"/>
      <w:bookmarkStart w:id="794" w:name="_Toc11953"/>
      <w:bookmarkStart w:id="795" w:name="_Toc27105"/>
      <w:bookmarkStart w:id="796" w:name="_Toc3589"/>
      <w:bookmarkStart w:id="797" w:name="_Toc19556"/>
      <w:bookmarkStart w:id="798" w:name="OLE_LINK3"/>
      <w:r>
        <w:rPr>
          <w:rFonts w:hint="eastAsia" w:ascii="宋体" w:hAnsi="宋体" w:eastAsia="宋体" w:cs="宋体"/>
          <w:highlight w:val="none"/>
          <w:u w:val="none"/>
          <w:lang w:val="en-US" w:eastAsia="zh-CN"/>
        </w:rPr>
        <w:t>作业者和承包者应赋予设施现场主要负责人或现场应急总指挥应急处置权限，在发生火灾爆炸、井喷失控、平台倾覆等危及人员生命安全的紧急情况时，上述人员有权下达紧急停产、弃平台（船）指令。</w:t>
      </w:r>
      <w:bookmarkEnd w:id="793"/>
      <w:bookmarkEnd w:id="794"/>
      <w:bookmarkEnd w:id="795"/>
      <w:bookmarkEnd w:id="796"/>
      <w:bookmarkEnd w:id="797"/>
    </w:p>
    <w:p w14:paraId="5673E168">
      <w:pPr>
        <w:pStyle w:val="69"/>
        <w:numPr>
          <w:ilvl w:val="3"/>
          <w:numId w:val="2"/>
        </w:numPr>
        <w:spacing w:before="0" w:beforeLines="0" w:after="0" w:afterLines="0"/>
        <w:rPr>
          <w:rFonts w:hint="default" w:ascii="宋体" w:hAnsi="宋体" w:eastAsia="宋体" w:cs="宋体"/>
          <w:highlight w:val="none"/>
          <w:lang w:val="en-US" w:eastAsia="zh-CN"/>
        </w:rPr>
      </w:pPr>
      <w:bookmarkStart w:id="799" w:name="_Toc19983"/>
      <w:bookmarkStart w:id="800" w:name="_Toc24840"/>
      <w:bookmarkStart w:id="801" w:name="_Toc30646"/>
      <w:bookmarkStart w:id="802" w:name="_Toc6241"/>
      <w:r>
        <w:rPr>
          <w:rFonts w:hint="eastAsia" w:ascii="宋体" w:hAnsi="宋体" w:eastAsia="宋体" w:cs="宋体"/>
          <w:highlight w:val="none"/>
          <w:lang w:val="en-US" w:eastAsia="zh-CN"/>
        </w:rPr>
        <w:t>其他应急管理要求应参照AQ ****-2026执行。</w:t>
      </w:r>
      <w:bookmarkEnd w:id="799"/>
      <w:bookmarkEnd w:id="800"/>
      <w:bookmarkEnd w:id="801"/>
      <w:bookmarkEnd w:id="802"/>
    </w:p>
    <w:bookmarkEnd w:id="798"/>
    <w:p w14:paraId="56EB89B8">
      <w:pPr>
        <w:pStyle w:val="107"/>
        <w:spacing w:before="240" w:after="240"/>
        <w:rPr>
          <w:highlight w:val="none"/>
        </w:rPr>
      </w:pPr>
      <w:bookmarkStart w:id="803" w:name="_Toc18040"/>
      <w:bookmarkStart w:id="804" w:name="_Toc28064"/>
      <w:bookmarkStart w:id="805" w:name="_Toc25829"/>
      <w:bookmarkStart w:id="806" w:name="_Toc28048"/>
      <w:r>
        <w:rPr>
          <w:rFonts w:hint="eastAsia"/>
          <w:highlight w:val="none"/>
        </w:rPr>
        <w:t>证实方法</w:t>
      </w:r>
      <w:bookmarkEnd w:id="803"/>
      <w:bookmarkEnd w:id="804"/>
      <w:bookmarkEnd w:id="805"/>
      <w:bookmarkEnd w:id="806"/>
    </w:p>
    <w:p w14:paraId="6C152FB8">
      <w:pPr>
        <w:pStyle w:val="60"/>
        <w:ind w:firstLine="420"/>
        <w:rPr>
          <w:highlight w:val="none"/>
        </w:rPr>
      </w:pPr>
      <w:r>
        <w:rPr>
          <w:rFonts w:hint="eastAsia"/>
          <w:highlight w:val="none"/>
        </w:rPr>
        <w:t>对本文件中各项要求的符合性，应通过以下一种或多种方法进行证实：</w:t>
      </w:r>
    </w:p>
    <w:p w14:paraId="6D43A153">
      <w:pPr>
        <w:pStyle w:val="178"/>
        <w:numPr>
          <w:ilvl w:val="0"/>
          <w:numId w:val="37"/>
        </w:numPr>
        <w:rPr>
          <w:rFonts w:hint="eastAsia"/>
          <w:highlight w:val="none"/>
          <w:lang w:val="en-US" w:eastAsia="zh-CN"/>
        </w:rPr>
      </w:pPr>
      <w:r>
        <w:rPr>
          <w:rFonts w:hint="eastAsia"/>
          <w:highlight w:val="none"/>
          <w:lang w:val="en-US" w:eastAsia="zh-CN"/>
        </w:rPr>
        <w:t>记录审查：检查安全管理体系文件、人员培训档案、设备检查维护记录、应急演练记录，作业设施资质文件、地质设计、井下作业设计文件，井控装置检验与试压文件、施工作业文件等，以证实相关管理过程和结果符合管理体系、设计文件和相关标准的要求；</w:t>
      </w:r>
    </w:p>
    <w:p w14:paraId="33DDF910">
      <w:pPr>
        <w:pStyle w:val="178"/>
        <w:numPr>
          <w:ilvl w:val="0"/>
          <w:numId w:val="37"/>
        </w:numPr>
        <w:rPr>
          <w:rFonts w:hint="eastAsia"/>
          <w:highlight w:val="none"/>
          <w:lang w:val="en-US" w:eastAsia="zh-CN"/>
        </w:rPr>
      </w:pPr>
      <w:r>
        <w:rPr>
          <w:rFonts w:hint="eastAsia"/>
          <w:highlight w:val="none"/>
          <w:lang w:val="en-US" w:eastAsia="zh-CN"/>
        </w:rPr>
        <w:t>现场审核：通过现场观察和询问，查验现场设备设施的配备与完整性，作业过程安全完整性以证实其设备管理与作业过程符合要求；</w:t>
      </w:r>
    </w:p>
    <w:p w14:paraId="0D64CF46">
      <w:pPr>
        <w:pStyle w:val="178"/>
        <w:numPr>
          <w:ilvl w:val="0"/>
          <w:numId w:val="37"/>
        </w:numPr>
        <w:rPr>
          <w:rFonts w:hint="eastAsia"/>
          <w:lang w:val="en-US" w:eastAsia="zh-CN"/>
        </w:rPr>
      </w:pPr>
      <w:r>
        <w:rPr>
          <w:rFonts w:hint="eastAsia"/>
          <w:lang w:val="en-US" w:eastAsia="zh-CN"/>
        </w:rPr>
        <w:t>设备测试：对井控装置、火灾、可燃气体、有毒有害气体探测报警系统、消防系统以及救逃生等安全设备进行功能性测试或状态检查，以证实其性能符合要求；</w:t>
      </w:r>
    </w:p>
    <w:p w14:paraId="7C986141">
      <w:pPr>
        <w:pStyle w:val="178"/>
        <w:numPr>
          <w:ilvl w:val="0"/>
          <w:numId w:val="37"/>
        </w:numPr>
        <w:rPr>
          <w:rFonts w:hint="eastAsia"/>
          <w:lang w:val="en-US" w:eastAsia="zh-CN"/>
        </w:rPr>
      </w:pPr>
      <w:r>
        <w:rPr>
          <w:rFonts w:hint="eastAsia"/>
          <w:lang w:val="en-US" w:eastAsia="zh-CN"/>
        </w:rPr>
        <w:t>演练评估：通过应急演练观察（包括桌面推演和实战演练），评估应急组织、响应程序、人员撤离及救护措施的有效性，以证实其应急响应符合要求。</w:t>
      </w:r>
    </w:p>
    <w:p w14:paraId="166439C6">
      <w:pPr>
        <w:rPr>
          <w:rFonts w:hint="eastAsia"/>
          <w:lang w:val="en-US" w:eastAsia="zh-CN"/>
        </w:rPr>
      </w:pPr>
      <w:r>
        <w:rPr>
          <w:rFonts w:hint="eastAsia"/>
          <w:lang w:val="en-US" w:eastAsia="zh-CN"/>
        </w:rPr>
        <w:br w:type="page"/>
      </w:r>
    </w:p>
    <w:p w14:paraId="396B8448">
      <w:pPr>
        <w:pStyle w:val="28"/>
        <w:ind w:firstLine="210"/>
        <w:rPr>
          <w:rFonts w:ascii="宋体" w:hAnsi="宋体"/>
        </w:rPr>
      </w:pPr>
    </w:p>
    <w:p w14:paraId="710704F4">
      <w:pPr>
        <w:rPr>
          <w:rFonts w:ascii="宋体" w:hAnsi="宋体" w:eastAsia="仿宋"/>
          <w:sz w:val="30"/>
          <w:szCs w:val="30"/>
        </w:rPr>
      </w:pPr>
    </w:p>
    <w:p w14:paraId="2F8E091F">
      <w:pPr>
        <w:rPr>
          <w:rFonts w:ascii="宋体" w:hAnsi="宋体" w:eastAsia="仿宋"/>
          <w:sz w:val="44"/>
          <w:szCs w:val="44"/>
        </w:rPr>
      </w:pPr>
    </w:p>
    <w:p w14:paraId="680A9A0F">
      <w:pPr>
        <w:rPr>
          <w:rFonts w:ascii="宋体" w:hAnsi="宋体" w:eastAsia="仿宋"/>
          <w:sz w:val="44"/>
          <w:szCs w:val="44"/>
        </w:rPr>
      </w:pPr>
    </w:p>
    <w:p w14:paraId="009764BA">
      <w:pPr>
        <w:rPr>
          <w:rFonts w:ascii="宋体" w:hAnsi="宋体" w:eastAsia="仿宋"/>
          <w:sz w:val="44"/>
          <w:szCs w:val="44"/>
        </w:rPr>
      </w:pPr>
    </w:p>
    <w:p w14:paraId="1C9204C1">
      <w:pPr>
        <w:jc w:val="center"/>
        <w:outlineLvl w:val="0"/>
        <w:rPr>
          <w:rFonts w:ascii="宋体" w:hAnsi="宋体" w:eastAsia="方正小标宋简体"/>
          <w:sz w:val="44"/>
          <w:szCs w:val="44"/>
        </w:rPr>
      </w:pPr>
      <w:bookmarkStart w:id="807" w:name="_Toc5373"/>
      <w:bookmarkStart w:id="808" w:name="_Toc21516"/>
      <w:bookmarkStart w:id="809" w:name="_Toc22371"/>
      <w:bookmarkStart w:id="810" w:name="_Toc3751"/>
      <w:bookmarkStart w:id="811" w:name="_Toc25669"/>
      <w:bookmarkStart w:id="812" w:name="_Toc6991"/>
      <w:bookmarkStart w:id="813" w:name="_Toc1422"/>
      <w:bookmarkStart w:id="814" w:name="_Toc28558"/>
      <w:bookmarkStart w:id="815" w:name="_Toc15362"/>
      <w:bookmarkStart w:id="816" w:name="_Toc21248"/>
      <w:bookmarkStart w:id="817" w:name="_Toc27352"/>
      <w:bookmarkStart w:id="818" w:name="_Toc12170"/>
      <w:bookmarkStart w:id="819" w:name="_Toc10734"/>
      <w:bookmarkStart w:id="820" w:name="_Toc21271"/>
      <w:bookmarkStart w:id="821" w:name="_Toc14863"/>
      <w:bookmarkStart w:id="822" w:name="_Toc9163"/>
      <w:bookmarkStart w:id="823" w:name="_Toc2085077807_WPSOffice_Level2"/>
      <w:r>
        <w:rPr>
          <w:rFonts w:hint="eastAsia" w:ascii="宋体" w:hAnsi="宋体" w:eastAsia="方正小标宋简体"/>
          <w:sz w:val="44"/>
          <w:szCs w:val="44"/>
        </w:rPr>
        <w:t>《</w:t>
      </w:r>
      <w:bookmarkEnd w:id="807"/>
      <w:bookmarkEnd w:id="808"/>
      <w:bookmarkStart w:id="824" w:name="_Toc19054"/>
      <w:bookmarkStart w:id="825" w:name="_Toc19749"/>
      <w:r>
        <w:rPr>
          <w:rFonts w:hint="eastAsia" w:ascii="宋体" w:hAnsi="宋体" w:eastAsia="方正小标宋简体" w:cs="Times New Roman"/>
          <w:sz w:val="44"/>
          <w:szCs w:val="44"/>
          <w:lang w:eastAsia="zh-CN"/>
        </w:rPr>
        <w:t>海洋石油天然气井下作业安全规范</w:t>
      </w:r>
      <w:r>
        <w:rPr>
          <w:rFonts w:hint="eastAsia" w:ascii="宋体" w:hAnsi="宋体" w:eastAsia="方正小标宋简体"/>
          <w:sz w:val="44"/>
          <w:szCs w:val="44"/>
        </w:rPr>
        <w:t>》</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4"/>
      <w:bookmarkEnd w:id="825"/>
    </w:p>
    <w:p w14:paraId="0A48A187">
      <w:pPr>
        <w:jc w:val="center"/>
        <w:outlineLvl w:val="0"/>
        <w:rPr>
          <w:rFonts w:ascii="宋体" w:hAnsi="宋体" w:eastAsia="仿宋_GB2312"/>
          <w:sz w:val="32"/>
          <w:szCs w:val="32"/>
        </w:rPr>
      </w:pPr>
      <w:bookmarkStart w:id="826" w:name="_Toc19105"/>
      <w:bookmarkStart w:id="827" w:name="_Toc7612"/>
      <w:bookmarkStart w:id="828" w:name="_Toc5607"/>
      <w:bookmarkStart w:id="829" w:name="_Toc28548"/>
      <w:bookmarkStart w:id="830" w:name="_Toc26718"/>
      <w:bookmarkStart w:id="831" w:name="_Toc27729"/>
      <w:bookmarkStart w:id="832" w:name="_Toc18518"/>
      <w:bookmarkStart w:id="833" w:name="_Toc21854"/>
      <w:bookmarkStart w:id="834" w:name="_Toc30355"/>
      <w:bookmarkStart w:id="835" w:name="_Toc20602"/>
      <w:bookmarkStart w:id="836" w:name="_Toc23743"/>
      <w:bookmarkStart w:id="837" w:name="_Toc490"/>
      <w:bookmarkStart w:id="838" w:name="_Toc23566"/>
      <w:bookmarkStart w:id="839" w:name="_Toc31183"/>
      <w:bookmarkStart w:id="840" w:name="_Toc23274"/>
      <w:bookmarkStart w:id="841" w:name="_Toc8887"/>
      <w:r>
        <w:rPr>
          <w:rFonts w:hint="eastAsia" w:ascii="宋体" w:hAnsi="宋体" w:eastAsia="仿宋_GB2312"/>
          <w:sz w:val="32"/>
          <w:szCs w:val="32"/>
        </w:rPr>
        <w:t>（</w:t>
      </w:r>
      <w:r>
        <w:rPr>
          <w:rFonts w:hint="eastAsia" w:ascii="宋体" w:hAnsi="宋体" w:eastAsia="仿宋_GB2312" w:cs="Times New Roman"/>
          <w:sz w:val="32"/>
          <w:szCs w:val="32"/>
        </w:rPr>
        <w:t>■</w:t>
      </w:r>
      <w:r>
        <w:rPr>
          <w:rFonts w:hint="eastAsia" w:ascii="宋体" w:hAnsi="宋体" w:eastAsia="仿宋_GB2312"/>
          <w:sz w:val="32"/>
          <w:szCs w:val="32"/>
        </w:rPr>
        <w:t>征求意见稿</w:t>
      </w:r>
      <w:r>
        <w:rPr>
          <w:rFonts w:ascii="宋体" w:hAnsi="宋体" w:eastAsia="仿宋_GB2312"/>
          <w:sz w:val="32"/>
          <w:szCs w:val="32"/>
        </w:rPr>
        <w:t xml:space="preserve">  </w:t>
      </w:r>
      <w:r>
        <w:rPr>
          <w:rFonts w:hint="eastAsia" w:ascii="宋体" w:hAnsi="宋体" w:eastAsia="仿宋_GB2312"/>
          <w:sz w:val="32"/>
          <w:szCs w:val="32"/>
        </w:rPr>
        <w:t>□送审稿</w:t>
      </w:r>
      <w:r>
        <w:rPr>
          <w:rFonts w:ascii="宋体" w:hAnsi="宋体" w:eastAsia="仿宋_GB2312"/>
          <w:sz w:val="32"/>
          <w:szCs w:val="32"/>
        </w:rPr>
        <w:t xml:space="preserve">  </w:t>
      </w:r>
      <w:r>
        <w:rPr>
          <w:rFonts w:hint="eastAsia" w:ascii="宋体" w:hAnsi="宋体" w:eastAsia="仿宋_GB2312"/>
          <w:sz w:val="32"/>
          <w:szCs w:val="32"/>
        </w:rPr>
        <w:t>□报批稿）</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6A85D34D">
      <w:pPr>
        <w:jc w:val="center"/>
        <w:rPr>
          <w:rFonts w:ascii="宋体" w:hAnsi="宋体" w:eastAsia="方正小标宋简体"/>
          <w:sz w:val="44"/>
          <w:szCs w:val="44"/>
        </w:rPr>
      </w:pPr>
    </w:p>
    <w:p w14:paraId="3706F8ED">
      <w:pPr>
        <w:jc w:val="center"/>
        <w:outlineLvl w:val="0"/>
        <w:rPr>
          <w:rFonts w:ascii="宋体" w:hAnsi="宋体" w:eastAsia="黑体" w:cs="黑体"/>
          <w:sz w:val="44"/>
          <w:szCs w:val="44"/>
        </w:rPr>
      </w:pPr>
      <w:bookmarkStart w:id="842" w:name="_Toc783"/>
      <w:bookmarkStart w:id="843" w:name="_Toc19089"/>
      <w:bookmarkStart w:id="844" w:name="_Toc4476"/>
      <w:bookmarkStart w:id="845" w:name="_Toc8211"/>
      <w:bookmarkStart w:id="846" w:name="_Toc3523"/>
      <w:bookmarkStart w:id="847" w:name="_Toc27145"/>
      <w:bookmarkStart w:id="848" w:name="_Toc15972"/>
      <w:bookmarkStart w:id="849" w:name="_Toc29443"/>
      <w:bookmarkStart w:id="850" w:name="_Toc32189"/>
      <w:bookmarkStart w:id="851" w:name="_Toc31977"/>
      <w:bookmarkStart w:id="852" w:name="_Toc27044"/>
      <w:bookmarkStart w:id="853" w:name="_Toc9890"/>
      <w:bookmarkStart w:id="854" w:name="_Toc19372"/>
      <w:bookmarkStart w:id="855" w:name="_Toc12087"/>
      <w:bookmarkStart w:id="856" w:name="_Toc4296"/>
      <w:bookmarkStart w:id="857" w:name="_Toc10013"/>
      <w:r>
        <w:rPr>
          <w:rFonts w:hint="eastAsia" w:ascii="宋体" w:hAnsi="宋体" w:eastAsia="黑体" w:cs="黑体"/>
          <w:sz w:val="44"/>
          <w:szCs w:val="44"/>
        </w:rPr>
        <w:t>编制说明</w:t>
      </w:r>
      <w:bookmarkEnd w:id="823"/>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14:paraId="50A0841C">
      <w:pPr>
        <w:jc w:val="center"/>
        <w:rPr>
          <w:rFonts w:ascii="宋体" w:hAnsi="宋体" w:eastAsia="仿宋_GB2312"/>
          <w:i/>
          <w:iCs/>
          <w:sz w:val="28"/>
          <w:szCs w:val="28"/>
        </w:rPr>
      </w:pPr>
      <w:r>
        <w:rPr>
          <w:rFonts w:ascii="宋体" w:hAnsi="宋体" w:eastAsia="仿宋"/>
          <w:i/>
          <w:iCs/>
          <w:sz w:val="28"/>
          <w:szCs w:val="28"/>
        </w:rPr>
        <w:br w:type="textWrapping"/>
      </w:r>
    </w:p>
    <w:p w14:paraId="46FB9CF2">
      <w:pPr>
        <w:rPr>
          <w:rFonts w:ascii="宋体" w:hAnsi="宋体" w:eastAsia="仿宋_GB2312"/>
          <w:i/>
          <w:iCs/>
          <w:sz w:val="28"/>
          <w:szCs w:val="28"/>
        </w:rPr>
      </w:pPr>
    </w:p>
    <w:p w14:paraId="2A4DDF2F">
      <w:pPr>
        <w:jc w:val="center"/>
        <w:rPr>
          <w:rFonts w:ascii="宋体" w:hAnsi="宋体" w:eastAsia="仿宋_GB2312"/>
          <w:i/>
          <w:iCs/>
          <w:sz w:val="28"/>
          <w:szCs w:val="28"/>
        </w:rPr>
      </w:pPr>
    </w:p>
    <w:p w14:paraId="53F7434C">
      <w:pPr>
        <w:jc w:val="center"/>
        <w:rPr>
          <w:rFonts w:ascii="宋体" w:hAnsi="宋体" w:eastAsia="仿宋_GB2312"/>
          <w:i/>
          <w:iCs/>
          <w:sz w:val="28"/>
          <w:szCs w:val="28"/>
        </w:rPr>
      </w:pPr>
    </w:p>
    <w:p w14:paraId="3E8BEDDB">
      <w:pPr>
        <w:jc w:val="center"/>
        <w:rPr>
          <w:rFonts w:ascii="宋体" w:hAnsi="宋体" w:eastAsia="仿宋_GB2312"/>
          <w:i/>
          <w:iCs/>
          <w:sz w:val="28"/>
          <w:szCs w:val="28"/>
        </w:rPr>
      </w:pPr>
    </w:p>
    <w:p w14:paraId="49B9D993">
      <w:pPr>
        <w:jc w:val="center"/>
        <w:rPr>
          <w:rFonts w:ascii="宋体" w:hAnsi="宋体" w:eastAsia="仿宋_GB2312"/>
          <w:i/>
          <w:iCs/>
          <w:sz w:val="28"/>
          <w:szCs w:val="28"/>
        </w:rPr>
      </w:pPr>
    </w:p>
    <w:p w14:paraId="37B2E2F4">
      <w:pPr>
        <w:rPr>
          <w:rFonts w:ascii="宋体" w:hAnsi="宋体" w:eastAsia="仿宋_GB2312"/>
          <w:sz w:val="28"/>
          <w:szCs w:val="28"/>
        </w:rPr>
      </w:pPr>
    </w:p>
    <w:p w14:paraId="56CBBF2E">
      <w:pPr>
        <w:jc w:val="center"/>
        <w:outlineLvl w:val="0"/>
        <w:rPr>
          <w:rFonts w:ascii="宋体" w:hAnsi="宋体" w:eastAsia="仿宋_GB2312" w:cs="仿宋_GB2312"/>
          <w:sz w:val="32"/>
          <w:szCs w:val="32"/>
        </w:rPr>
      </w:pPr>
      <w:bookmarkStart w:id="858" w:name="_Toc29756"/>
      <w:bookmarkStart w:id="859" w:name="_Toc11174"/>
      <w:bookmarkStart w:id="860" w:name="_Toc13790"/>
      <w:bookmarkStart w:id="861" w:name="_Toc9678"/>
      <w:bookmarkStart w:id="862" w:name="_Toc30735"/>
      <w:bookmarkStart w:id="863" w:name="_Toc17144"/>
      <w:bookmarkStart w:id="864" w:name="_Toc31660"/>
      <w:bookmarkStart w:id="865" w:name="_Toc10377"/>
      <w:bookmarkStart w:id="866" w:name="_Toc7900"/>
      <w:bookmarkStart w:id="867" w:name="_Toc16524"/>
      <w:bookmarkStart w:id="868" w:name="_Toc15663"/>
      <w:bookmarkStart w:id="869" w:name="_Toc15656"/>
      <w:bookmarkStart w:id="870" w:name="_Toc259"/>
      <w:bookmarkStart w:id="871" w:name="_Toc27914"/>
      <w:bookmarkStart w:id="872" w:name="_Toc22306"/>
      <w:bookmarkStart w:id="873" w:name="_Toc14478"/>
      <w:r>
        <w:rPr>
          <w:rFonts w:hint="eastAsia" w:ascii="宋体" w:hAnsi="宋体" w:eastAsia="仿宋_GB2312" w:cs="仿宋_GB2312"/>
          <w:sz w:val="32"/>
          <w:szCs w:val="32"/>
        </w:rPr>
        <w:t>标准编制组</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14:paraId="081D47ED">
      <w:pPr>
        <w:jc w:val="center"/>
        <w:outlineLvl w:val="0"/>
        <w:rPr>
          <w:rFonts w:hint="default" w:ascii="宋体" w:hAnsi="宋体" w:eastAsia="仿宋_GB2312"/>
          <w:b/>
          <w:sz w:val="32"/>
          <w:szCs w:val="32"/>
          <w:lang w:val="en-US" w:eastAsia="zh-CN"/>
        </w:rPr>
      </w:pPr>
      <w:bookmarkStart w:id="874" w:name="_Toc28957"/>
      <w:bookmarkStart w:id="875" w:name="_Toc11048"/>
      <w:bookmarkStart w:id="876" w:name="_Toc14713"/>
      <w:bookmarkStart w:id="877" w:name="_Toc26582"/>
      <w:bookmarkStart w:id="878" w:name="_Toc8135"/>
      <w:bookmarkStart w:id="879" w:name="_Toc14113"/>
      <w:bookmarkStart w:id="880" w:name="_Toc15591"/>
      <w:bookmarkStart w:id="881" w:name="_Toc10134"/>
      <w:bookmarkStart w:id="882" w:name="_Toc23968"/>
      <w:bookmarkStart w:id="883" w:name="_Toc466"/>
      <w:bookmarkStart w:id="884" w:name="_Toc15445"/>
      <w:bookmarkStart w:id="885" w:name="_Toc19397"/>
      <w:bookmarkStart w:id="886" w:name="_Toc5746"/>
      <w:bookmarkStart w:id="887" w:name="_Toc16698"/>
      <w:bookmarkStart w:id="888" w:name="_Toc24934"/>
      <w:bookmarkStart w:id="889" w:name="_Toc21411"/>
      <w:r>
        <w:rPr>
          <w:rFonts w:hint="eastAsia" w:ascii="宋体" w:hAnsi="宋体" w:eastAsia="仿宋_GB2312" w:cs="仿宋_GB2312"/>
          <w:sz w:val="32"/>
          <w:szCs w:val="32"/>
        </w:rPr>
        <w:t>2026年</w:t>
      </w:r>
      <w:r>
        <w:rPr>
          <w:rFonts w:hint="eastAsia" w:ascii="宋体" w:hAnsi="宋体" w:eastAsia="仿宋_GB2312" w:cs="仿宋_GB2312"/>
          <w:sz w:val="32"/>
          <w:szCs w:val="32"/>
          <w:lang w:val="en-US" w:eastAsia="zh-CN"/>
        </w:rPr>
        <w:t>8</w:t>
      </w:r>
      <w:r>
        <w:rPr>
          <w:rFonts w:hint="eastAsia" w:ascii="宋体" w:hAnsi="宋体" w:eastAsia="仿宋_GB2312" w:cs="仿宋_GB2312"/>
          <w:sz w:val="32"/>
          <w:szCs w:val="32"/>
        </w:rPr>
        <w:t>月</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Fonts w:hint="eastAsia" w:ascii="宋体" w:hAnsi="宋体" w:eastAsia="仿宋_GB2312" w:cs="仿宋_GB2312"/>
          <w:sz w:val="32"/>
          <w:szCs w:val="32"/>
          <w:lang w:val="en-US" w:eastAsia="zh-CN"/>
        </w:rPr>
        <w:t>4日</w:t>
      </w:r>
    </w:p>
    <w:p w14:paraId="6BF78AEE">
      <w:pPr>
        <w:ind w:firstLine="880" w:firstLineChars="200"/>
        <w:jc w:val="center"/>
        <w:rPr>
          <w:rFonts w:ascii="宋体" w:hAnsi="宋体" w:eastAsia="方正小标宋_GBK" w:cs="方正小标宋_GBK"/>
          <w:sz w:val="44"/>
          <w:szCs w:val="44"/>
        </w:rPr>
        <w:sectPr>
          <w:headerReference r:id="rId15" w:type="default"/>
          <w:footerReference r:id="rId16" w:type="default"/>
          <w:pgSz w:w="11906" w:h="16838"/>
          <w:pgMar w:top="1701" w:right="1474" w:bottom="1474" w:left="1587" w:header="851" w:footer="992" w:gutter="0"/>
          <w:pgNumType w:fmt="decimal" w:start="1"/>
          <w:cols w:space="720" w:num="1"/>
          <w:docGrid w:type="lines" w:linePitch="312" w:charSpace="0"/>
        </w:sectPr>
      </w:pPr>
    </w:p>
    <w:p w14:paraId="44D7DE91">
      <w:pPr>
        <w:ind w:firstLine="880" w:firstLineChars="200"/>
        <w:jc w:val="center"/>
        <w:outlineLvl w:val="0"/>
        <w:rPr>
          <w:rFonts w:ascii="宋体" w:hAnsi="宋体" w:eastAsia="方正小标宋_GBK" w:cs="方正小标宋_GBK"/>
          <w:sz w:val="44"/>
          <w:szCs w:val="44"/>
        </w:rPr>
      </w:pPr>
      <w:bookmarkStart w:id="890" w:name="_Toc22831"/>
      <w:bookmarkStart w:id="891" w:name="_Toc1739"/>
      <w:bookmarkStart w:id="892" w:name="_Toc3190"/>
      <w:bookmarkStart w:id="893" w:name="_Toc7007"/>
      <w:bookmarkStart w:id="894" w:name="_Toc7327"/>
      <w:bookmarkStart w:id="895" w:name="_Toc2352"/>
      <w:bookmarkStart w:id="896" w:name="_Toc3960"/>
      <w:bookmarkStart w:id="897" w:name="_Toc32622"/>
      <w:bookmarkStart w:id="898" w:name="_Toc19344"/>
      <w:bookmarkStart w:id="899" w:name="_Toc18248"/>
      <w:bookmarkStart w:id="900" w:name="_Toc29289"/>
      <w:bookmarkStart w:id="901" w:name="_Toc159"/>
      <w:bookmarkStart w:id="902" w:name="_Toc11743"/>
      <w:bookmarkStart w:id="903" w:name="_Toc27843"/>
      <w:bookmarkStart w:id="904" w:name="_Toc5496"/>
      <w:bookmarkStart w:id="905" w:name="_Toc3641"/>
      <w:r>
        <w:rPr>
          <w:rFonts w:hint="eastAsia" w:ascii="宋体" w:hAnsi="宋体" w:eastAsia="方正小标宋_GBK" w:cs="方正小标宋_GBK"/>
          <w:sz w:val="44"/>
          <w:szCs w:val="44"/>
        </w:rPr>
        <w:t>说 明</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439BC30F">
      <w:pPr>
        <w:spacing w:line="360" w:lineRule="auto"/>
        <w:outlineLvl w:val="0"/>
        <w:rPr>
          <w:rFonts w:ascii="宋体" w:hAnsi="宋体" w:eastAsia="仿宋_GB2312"/>
          <w:sz w:val="24"/>
          <w:szCs w:val="21"/>
        </w:rPr>
      </w:pPr>
      <w:r>
        <w:rPr>
          <w:rFonts w:hint="eastAsia" w:ascii="宋体" w:hAnsi="宋体" w:eastAsia="仿宋_GB2312"/>
          <w:sz w:val="24"/>
          <w:szCs w:val="21"/>
        </w:rPr>
        <w:t xml:space="preserve">    </w:t>
      </w:r>
      <w:bookmarkStart w:id="906" w:name="_Toc28350"/>
      <w:bookmarkStart w:id="907" w:name="_Toc16644"/>
      <w:bookmarkStart w:id="908" w:name="_Toc9742"/>
      <w:bookmarkStart w:id="909" w:name="_Toc26190"/>
      <w:bookmarkStart w:id="910" w:name="_Toc14241"/>
      <w:bookmarkStart w:id="911" w:name="_Toc28143"/>
      <w:bookmarkStart w:id="912" w:name="_Toc26979"/>
      <w:bookmarkStart w:id="913" w:name="_Toc31505"/>
      <w:bookmarkStart w:id="914" w:name="_Toc1198"/>
      <w:bookmarkStart w:id="915" w:name="_Toc4887"/>
      <w:bookmarkStart w:id="916" w:name="_Toc20511"/>
      <w:bookmarkStart w:id="917" w:name="_Toc11973"/>
      <w:bookmarkStart w:id="918" w:name="_Toc3123"/>
      <w:bookmarkStart w:id="919" w:name="_Toc28736"/>
      <w:bookmarkStart w:id="920" w:name="_Toc30058"/>
      <w:bookmarkStart w:id="921" w:name="_Toc20995"/>
      <w:r>
        <w:rPr>
          <w:rFonts w:hint="eastAsia" w:ascii="宋体" w:hAnsi="宋体" w:eastAsia="仿宋_GB2312"/>
          <w:sz w:val="24"/>
          <w:szCs w:val="21"/>
        </w:rPr>
        <w:t>1．标准编制说明的封面</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14:paraId="17EDC908">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（1）标准名称。应在封面靠上居中位置，与标准稿名称保持一致。字体字号为方正小标宋二号。</w:t>
      </w:r>
    </w:p>
    <w:p w14:paraId="183080F2">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（2）标准文稿版次。在标准名称下方“征求意见稿、送审稿、报批稿”前的方框</w:t>
      </w:r>
      <w:r>
        <w:rPr>
          <w:rFonts w:hint="eastAsia" w:ascii="宋体" w:hAnsi="宋体" w:eastAsia="宋体" w:cs="宋体"/>
          <w:sz w:val="24"/>
          <w:szCs w:val="21"/>
        </w:rPr>
        <w:t>凃</w:t>
      </w:r>
      <w:r>
        <w:rPr>
          <w:rFonts w:hint="eastAsia" w:ascii="仿宋_GB2312" w:hAnsi="仿宋_GB2312" w:eastAsia="仿宋_GB2312" w:cs="仿宋_GB2312"/>
          <w:sz w:val="24"/>
          <w:szCs w:val="21"/>
        </w:rPr>
        <w:t>选其一，例如“</w:t>
      </w:r>
      <w:r>
        <w:rPr>
          <w:rFonts w:hint="eastAsia" w:ascii="宋体" w:hAnsi="宋体" w:eastAsia="华文宋体" w:cs="华文宋体"/>
          <w:sz w:val="24"/>
          <w:szCs w:val="21"/>
        </w:rPr>
        <w:t>■</w:t>
      </w:r>
      <w:r>
        <w:rPr>
          <w:rFonts w:hint="eastAsia" w:ascii="宋体" w:hAnsi="宋体" w:eastAsia="仿宋_GB2312"/>
          <w:sz w:val="24"/>
          <w:szCs w:val="21"/>
        </w:rPr>
        <w:t>征求意见稿”。字体字号为仿宋三号。</w:t>
      </w:r>
    </w:p>
    <w:p w14:paraId="1E16602D">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（3）标准编制组。在封面靠下居中位置。字体字号为仿宋三号。</w:t>
      </w:r>
    </w:p>
    <w:p w14:paraId="50483BD6">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（4）编制日期。编制日期为本阶段完成的日期，以数字格式书写，字体为宋体，字号为三号。如：“2020</w:t>
      </w:r>
      <w:r>
        <w:rPr>
          <w:rFonts w:hint="eastAsia" w:ascii="宋体" w:hAnsi="宋体" w:eastAsia="仿宋_GB2312" w:cs="仿宋_GB2312"/>
          <w:sz w:val="24"/>
          <w:szCs w:val="21"/>
        </w:rPr>
        <w:t>年3月30日”</w:t>
      </w:r>
      <w:r>
        <w:rPr>
          <w:rFonts w:hint="eastAsia" w:ascii="宋体" w:hAnsi="宋体" w:eastAsia="仿宋_GB2312"/>
          <w:sz w:val="24"/>
          <w:szCs w:val="21"/>
        </w:rPr>
        <w:t>。</w:t>
      </w:r>
    </w:p>
    <w:p w14:paraId="269110AE">
      <w:pPr>
        <w:spacing w:line="360" w:lineRule="auto"/>
        <w:outlineLvl w:val="0"/>
        <w:rPr>
          <w:rFonts w:ascii="宋体" w:hAnsi="宋体" w:eastAsia="仿宋_GB2312"/>
          <w:sz w:val="24"/>
          <w:szCs w:val="21"/>
        </w:rPr>
      </w:pPr>
      <w:r>
        <w:rPr>
          <w:rFonts w:hint="eastAsia" w:ascii="宋体" w:hAnsi="宋体" w:eastAsia="仿宋_GB2312"/>
          <w:sz w:val="24"/>
          <w:szCs w:val="21"/>
        </w:rPr>
        <w:t xml:space="preserve">    </w:t>
      </w:r>
      <w:bookmarkStart w:id="922" w:name="_Toc22678"/>
      <w:bookmarkStart w:id="923" w:name="_Toc10327"/>
      <w:bookmarkStart w:id="924" w:name="_Toc9292"/>
      <w:bookmarkStart w:id="925" w:name="_Toc5739"/>
      <w:bookmarkStart w:id="926" w:name="_Toc3354"/>
      <w:bookmarkStart w:id="927" w:name="_Toc13469"/>
      <w:bookmarkStart w:id="928" w:name="_Toc3010"/>
      <w:bookmarkStart w:id="929" w:name="_Toc20932"/>
      <w:bookmarkStart w:id="930" w:name="_Toc28469"/>
      <w:bookmarkStart w:id="931" w:name="_Toc20771"/>
      <w:bookmarkStart w:id="932" w:name="_Toc24498"/>
      <w:bookmarkStart w:id="933" w:name="_Toc15128"/>
      <w:bookmarkStart w:id="934" w:name="_Toc11596"/>
      <w:bookmarkStart w:id="935" w:name="_Toc19578"/>
      <w:bookmarkStart w:id="936" w:name="_Toc21294"/>
      <w:bookmarkStart w:id="937" w:name="_Toc8376"/>
      <w:r>
        <w:rPr>
          <w:rFonts w:hint="eastAsia" w:ascii="宋体" w:hAnsi="宋体" w:eastAsia="仿宋_GB2312"/>
          <w:sz w:val="24"/>
          <w:szCs w:val="21"/>
        </w:rPr>
        <w:t>2．标准编制说明的正文</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14:paraId="6F3F22A2">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（1）正文页边距为上3cm、下</w:t>
      </w:r>
      <w:r>
        <w:rPr>
          <w:rFonts w:ascii="宋体" w:hAnsi="宋体" w:eastAsia="仿宋_GB2312"/>
          <w:sz w:val="24"/>
          <w:szCs w:val="21"/>
        </w:rPr>
        <w:t>2.6</w:t>
      </w:r>
      <w:r>
        <w:rPr>
          <w:rFonts w:hint="eastAsia" w:ascii="宋体" w:hAnsi="宋体" w:eastAsia="仿宋_GB2312"/>
          <w:sz w:val="24"/>
          <w:szCs w:val="21"/>
        </w:rPr>
        <w:t>cm、左2.8cm、右2.6cm。</w:t>
      </w:r>
    </w:p>
    <w:p w14:paraId="27397C8E">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（2）正文标题，一级标题用黑体三号字，二级标题用楷体三号字不加粗。三级、四级标题用仿宋GB-2312三号字不加粗。文中结构层次序数为“一、”“（一）”“1.”“（1）”标注。</w:t>
      </w:r>
    </w:p>
    <w:p w14:paraId="4833D99C">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（3）正文中文字体字号为仿宋GB-2312三号字，数字、字母等西文字体为宋体三号字，段落行距为28磅，首行缩进2字符。</w:t>
      </w:r>
    </w:p>
    <w:p w14:paraId="7E1B8ED5">
      <w:pPr>
        <w:spacing w:line="360" w:lineRule="auto"/>
        <w:outlineLvl w:val="0"/>
        <w:rPr>
          <w:rFonts w:hint="eastAsia" w:ascii="宋体" w:hAnsi="宋体" w:eastAsia="仿宋_GB2312"/>
          <w:sz w:val="24"/>
          <w:szCs w:val="21"/>
        </w:rPr>
      </w:pPr>
      <w:r>
        <w:rPr>
          <w:rFonts w:hint="eastAsia" w:ascii="宋体" w:hAnsi="宋体" w:eastAsia="仿宋_GB2312"/>
          <w:sz w:val="24"/>
          <w:szCs w:val="21"/>
        </w:rPr>
        <w:t xml:space="preserve">    </w:t>
      </w:r>
      <w:bookmarkStart w:id="938" w:name="_Toc21157"/>
      <w:bookmarkStart w:id="939" w:name="_Toc13181"/>
      <w:bookmarkStart w:id="940" w:name="_Toc27532"/>
      <w:bookmarkStart w:id="941" w:name="_Toc4978"/>
      <w:bookmarkStart w:id="942" w:name="_Toc31302"/>
      <w:bookmarkStart w:id="943" w:name="_Toc5391"/>
      <w:bookmarkStart w:id="944" w:name="_Toc10358"/>
      <w:bookmarkStart w:id="945" w:name="_Toc30667"/>
      <w:bookmarkStart w:id="946" w:name="_Toc13299"/>
      <w:bookmarkStart w:id="947" w:name="_Toc30224"/>
      <w:bookmarkStart w:id="948" w:name="_Toc24951"/>
      <w:bookmarkStart w:id="949" w:name="_Toc10033"/>
      <w:bookmarkStart w:id="950" w:name="_Toc13881"/>
      <w:bookmarkStart w:id="951" w:name="_Toc14836"/>
      <w:bookmarkStart w:id="952" w:name="_Toc19084"/>
      <w:bookmarkStart w:id="953" w:name="_Toc31843"/>
      <w:r>
        <w:rPr>
          <w:rFonts w:hint="eastAsia" w:ascii="宋体" w:hAnsi="宋体" w:eastAsia="仿宋_GB2312"/>
          <w:sz w:val="24"/>
          <w:szCs w:val="21"/>
        </w:rPr>
        <w:t>3.</w:t>
      </w:r>
      <w:r>
        <w:rPr>
          <w:rFonts w:hint="eastAsia" w:ascii="宋体" w:hAnsi="宋体" w:eastAsia="仿宋_GB2312"/>
          <w:sz w:val="24"/>
          <w:szCs w:val="21"/>
          <w:lang w:val="en-US" w:eastAsia="zh-CN"/>
        </w:rPr>
        <w:t xml:space="preserve"> </w:t>
      </w:r>
      <w:r>
        <w:rPr>
          <w:rFonts w:hint="eastAsia" w:ascii="宋体" w:hAnsi="宋体" w:eastAsia="仿宋_GB2312"/>
          <w:sz w:val="24"/>
          <w:szCs w:val="21"/>
        </w:rPr>
        <w:t>编制说明的内容</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14:paraId="5F5A47DB">
      <w:pPr>
        <w:widowControl/>
        <w:spacing w:line="360" w:lineRule="auto"/>
        <w:ind w:firstLine="480"/>
        <w:rPr>
          <w:rFonts w:ascii="宋体" w:hAnsi="宋体" w:eastAsia="仿宋_GB2312"/>
          <w:sz w:val="24"/>
          <w:szCs w:val="21"/>
        </w:rPr>
      </w:pPr>
      <w:r>
        <w:rPr>
          <w:rFonts w:hint="eastAsia" w:ascii="宋体" w:hAnsi="宋体" w:eastAsia="仿宋_GB2312"/>
          <w:sz w:val="24"/>
          <w:szCs w:val="21"/>
        </w:rPr>
        <w:t>（1）应按照格式要求逐条说明，不涉及的填“无”。</w:t>
      </w:r>
    </w:p>
    <w:p w14:paraId="7635DC34">
      <w:pPr>
        <w:widowControl/>
        <w:spacing w:line="360" w:lineRule="auto"/>
        <w:ind w:firstLine="480"/>
        <w:rPr>
          <w:rFonts w:ascii="宋体" w:hAnsi="宋体" w:eastAsia="仿宋_GB2312"/>
          <w:sz w:val="24"/>
          <w:szCs w:val="21"/>
        </w:rPr>
      </w:pPr>
      <w:r>
        <w:rPr>
          <w:rFonts w:hint="eastAsia" w:ascii="宋体" w:hAnsi="宋体" w:eastAsia="仿宋_GB2312"/>
          <w:sz w:val="24"/>
          <w:szCs w:val="21"/>
        </w:rPr>
        <w:t>（2）应根据工作进度不断补充完善，工作过程有连续性。</w:t>
      </w:r>
    </w:p>
    <w:p w14:paraId="5ADECA3B">
      <w:pPr>
        <w:widowControl/>
        <w:spacing w:line="360" w:lineRule="auto"/>
        <w:ind w:firstLine="480"/>
        <w:rPr>
          <w:rFonts w:ascii="宋体" w:hAnsi="宋体" w:eastAsia="仿宋_GB2312"/>
          <w:sz w:val="24"/>
          <w:szCs w:val="21"/>
        </w:rPr>
      </w:pPr>
      <w:r>
        <w:rPr>
          <w:rFonts w:hint="eastAsia" w:ascii="宋体" w:hAnsi="宋体" w:eastAsia="仿宋_GB2312"/>
          <w:sz w:val="24"/>
          <w:szCs w:val="21"/>
        </w:rPr>
        <w:t>（3）编制说明不是对标准内容的复制。</w:t>
      </w:r>
    </w:p>
    <w:p w14:paraId="7C646447">
      <w:pPr>
        <w:spacing w:line="360" w:lineRule="auto"/>
        <w:ind w:firstLine="480" w:firstLineChars="200"/>
        <w:rPr>
          <w:rFonts w:ascii="宋体" w:hAnsi="宋体" w:eastAsia="仿宋_GB2312"/>
          <w:sz w:val="24"/>
          <w:szCs w:val="21"/>
        </w:rPr>
      </w:pPr>
      <w:r>
        <w:rPr>
          <w:rFonts w:hint="eastAsia" w:ascii="宋体" w:hAnsi="宋体" w:eastAsia="仿宋_GB2312"/>
          <w:sz w:val="24"/>
          <w:szCs w:val="21"/>
        </w:rPr>
        <w:t>（4）应关注强制性标准的依据、修订标准的主要技术内容比对、标准实施过渡期、强制性标准实施政策等重要内容的编写，详见下文模板。</w:t>
      </w:r>
    </w:p>
    <w:p w14:paraId="16883F45">
      <w:pPr>
        <w:widowControl/>
        <w:spacing w:line="360" w:lineRule="auto"/>
        <w:outlineLvl w:val="0"/>
        <w:rPr>
          <w:rFonts w:ascii="宋体" w:hAnsi="宋体" w:eastAsia="仿宋_GB2312"/>
          <w:sz w:val="24"/>
          <w:szCs w:val="21"/>
        </w:rPr>
      </w:pPr>
      <w:r>
        <w:rPr>
          <w:rFonts w:hint="eastAsia" w:ascii="宋体" w:hAnsi="宋体" w:eastAsia="仿宋_GB2312"/>
          <w:sz w:val="24"/>
          <w:szCs w:val="21"/>
        </w:rPr>
        <w:t xml:space="preserve">    </w:t>
      </w:r>
      <w:bookmarkStart w:id="954" w:name="_Toc29900"/>
      <w:bookmarkStart w:id="955" w:name="_Toc16775"/>
      <w:bookmarkStart w:id="956" w:name="_Toc25791"/>
      <w:bookmarkStart w:id="957" w:name="_Toc25008"/>
      <w:bookmarkStart w:id="958" w:name="_Toc25260"/>
      <w:bookmarkStart w:id="959" w:name="_Toc23982"/>
      <w:bookmarkStart w:id="960" w:name="_Toc6416"/>
      <w:bookmarkStart w:id="961" w:name="_Toc16550"/>
      <w:bookmarkStart w:id="962" w:name="_Toc7253"/>
      <w:bookmarkStart w:id="963" w:name="_Toc24998"/>
      <w:bookmarkStart w:id="964" w:name="_Toc15486"/>
      <w:bookmarkStart w:id="965" w:name="_Toc14733"/>
      <w:bookmarkStart w:id="966" w:name="_Toc24980"/>
      <w:bookmarkStart w:id="967" w:name="_Toc6875"/>
      <w:bookmarkStart w:id="968" w:name="_Toc29883"/>
      <w:bookmarkStart w:id="969" w:name="_Toc8445"/>
      <w:r>
        <w:rPr>
          <w:rFonts w:hint="eastAsia" w:ascii="宋体" w:hAnsi="宋体" w:eastAsia="仿宋_GB2312"/>
          <w:sz w:val="24"/>
          <w:szCs w:val="21"/>
        </w:rPr>
        <w:t>4.其他</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5342C272">
      <w:pPr>
        <w:widowControl/>
        <w:spacing w:line="360" w:lineRule="auto"/>
        <w:ind w:firstLine="480"/>
        <w:rPr>
          <w:rFonts w:ascii="宋体" w:hAnsi="宋体" w:eastAsia="仿宋_GB2312"/>
          <w:sz w:val="24"/>
          <w:szCs w:val="21"/>
        </w:rPr>
      </w:pPr>
      <w:r>
        <w:rPr>
          <w:rFonts w:hint="eastAsia" w:ascii="宋体" w:hAnsi="宋体" w:eastAsia="仿宋_GB2312"/>
          <w:sz w:val="24"/>
          <w:szCs w:val="21"/>
        </w:rPr>
        <w:t>（1）编制说明内容模板中的斜体文字内容为参考，正式提交后应删除。</w:t>
      </w:r>
    </w:p>
    <w:p w14:paraId="239B7E8A">
      <w:pPr>
        <w:widowControl/>
        <w:spacing w:line="360" w:lineRule="auto"/>
        <w:ind w:firstLine="480"/>
        <w:rPr>
          <w:rFonts w:ascii="宋体" w:hAnsi="宋体" w:eastAsia="仿宋_GB2312"/>
          <w:sz w:val="24"/>
          <w:szCs w:val="21"/>
        </w:rPr>
      </w:pPr>
      <w:r>
        <w:rPr>
          <w:rFonts w:hint="eastAsia" w:ascii="宋体" w:hAnsi="宋体" w:eastAsia="仿宋_GB2312"/>
          <w:sz w:val="24"/>
          <w:szCs w:val="21"/>
        </w:rPr>
        <w:t>（2）编制说明应正反面打印。本说明保留，打印首页反面。</w:t>
      </w:r>
    </w:p>
    <w:p w14:paraId="7AF5ED9F">
      <w:pPr>
        <w:widowControl/>
        <w:spacing w:line="360" w:lineRule="auto"/>
        <w:ind w:firstLine="480"/>
        <w:rPr>
          <w:rFonts w:ascii="宋体" w:hAnsi="宋体" w:eastAsia="仿宋_GB2312"/>
          <w:sz w:val="24"/>
          <w:szCs w:val="21"/>
        </w:rPr>
      </w:pPr>
      <w:r>
        <w:rPr>
          <w:rFonts w:hint="eastAsia" w:ascii="宋体" w:hAnsi="宋体" w:eastAsia="仿宋_GB2312"/>
          <w:sz w:val="24"/>
          <w:szCs w:val="21"/>
        </w:rPr>
        <w:t>（3）页码从第三页开始编，起始页码为“</w:t>
      </w:r>
      <w:r>
        <w:rPr>
          <w:rFonts w:ascii="宋体" w:hAnsi="宋体" w:eastAsia="仿宋_GB2312"/>
          <w:sz w:val="24"/>
          <w:szCs w:val="21"/>
        </w:rPr>
        <w:t>1</w:t>
      </w:r>
      <w:r>
        <w:rPr>
          <w:rFonts w:hint="eastAsia" w:ascii="宋体" w:hAnsi="宋体" w:eastAsia="仿宋_GB2312"/>
          <w:sz w:val="24"/>
          <w:szCs w:val="21"/>
        </w:rPr>
        <w:t>”，页码为五号宋体。</w:t>
      </w:r>
    </w:p>
    <w:p w14:paraId="1A85F329">
      <w:pPr>
        <w:ind w:firstLine="1079" w:firstLineChars="336"/>
        <w:rPr>
          <w:rFonts w:ascii="宋体" w:hAnsi="宋体" w:eastAsia="等线"/>
          <w:b/>
          <w:sz w:val="32"/>
          <w:szCs w:val="32"/>
        </w:rPr>
      </w:pPr>
    </w:p>
    <w:p w14:paraId="2F483AD7">
      <w:pPr>
        <w:snapToGrid w:val="0"/>
        <w:spacing w:line="360" w:lineRule="auto"/>
        <w:ind w:firstLine="560" w:firstLineChars="200"/>
        <w:rPr>
          <w:rFonts w:ascii="宋体" w:hAnsi="宋体" w:eastAsia="仿宋"/>
          <w:sz w:val="28"/>
          <w:szCs w:val="28"/>
        </w:rPr>
        <w:sectPr>
          <w:headerReference r:id="rId17" w:type="default"/>
          <w:footerReference r:id="rId19" w:type="default"/>
          <w:headerReference r:id="rId18" w:type="even"/>
          <w:footerReference r:id="rId20" w:type="even"/>
          <w:pgSz w:w="11906" w:h="16838"/>
          <w:pgMar w:top="1701" w:right="1474" w:bottom="1474" w:left="1587" w:header="851" w:footer="992" w:gutter="0"/>
          <w:pgNumType w:fmt="decimal"/>
          <w:cols w:space="720" w:num="1"/>
          <w:docGrid w:type="lines" w:linePitch="312" w:charSpace="0"/>
        </w:sectPr>
      </w:pPr>
    </w:p>
    <w:p w14:paraId="465C86E0">
      <w:pPr>
        <w:widowControl/>
        <w:adjustRightInd w:val="0"/>
        <w:spacing w:line="560" w:lineRule="exact"/>
        <w:ind w:firstLine="640" w:firstLineChars="200"/>
        <w:outlineLvl w:val="0"/>
        <w:rPr>
          <w:rFonts w:ascii="宋体" w:hAnsi="宋体" w:eastAsia="黑体" w:cs="Times New Roman"/>
          <w:color w:val="000000"/>
          <w:sz w:val="32"/>
          <w:szCs w:val="32"/>
          <w:highlight w:val="none"/>
        </w:rPr>
      </w:pPr>
      <w:bookmarkStart w:id="970" w:name="_Toc10546"/>
      <w:bookmarkStart w:id="971" w:name="_Toc9879"/>
      <w:r>
        <w:rPr>
          <w:rFonts w:hint="eastAsia" w:ascii="宋体" w:hAnsi="宋体" w:eastAsia="黑体" w:cs="Times New Roman"/>
          <w:color w:val="000000"/>
          <w:sz w:val="32"/>
          <w:szCs w:val="32"/>
          <w:highlight w:val="none"/>
        </w:rPr>
        <w:t>一、工作简况</w:t>
      </w:r>
      <w:bookmarkEnd w:id="970"/>
      <w:bookmarkEnd w:id="971"/>
    </w:p>
    <w:p w14:paraId="322F6595">
      <w:pPr>
        <w:adjustRightInd w:val="0"/>
        <w:spacing w:line="560" w:lineRule="exact"/>
        <w:ind w:firstLine="640" w:firstLineChars="200"/>
        <w:outlineLvl w:val="0"/>
        <w:rPr>
          <w:rFonts w:ascii="宋体" w:hAnsi="宋体" w:eastAsia="楷体" w:cs="Times New Roman"/>
          <w:color w:val="000000"/>
          <w:sz w:val="32"/>
          <w:szCs w:val="32"/>
          <w:highlight w:val="none"/>
          <w:shd w:val="clear" w:color="auto" w:fill="FFFFFF"/>
        </w:rPr>
      </w:pPr>
      <w:bookmarkStart w:id="972" w:name="_Toc6846"/>
      <w:bookmarkStart w:id="973" w:name="_Toc16539"/>
      <w:r>
        <w:rPr>
          <w:rFonts w:hint="eastAsia" w:ascii="宋体" w:hAnsi="宋体" w:eastAsia="楷体" w:cs="Times New Roman"/>
          <w:color w:val="000000"/>
          <w:sz w:val="32"/>
          <w:szCs w:val="32"/>
          <w:highlight w:val="none"/>
          <w:shd w:val="clear" w:color="auto" w:fill="FFFFFF"/>
        </w:rPr>
        <w:t>（一）任务来源</w:t>
      </w:r>
      <w:bookmarkEnd w:id="972"/>
      <w:bookmarkEnd w:id="973"/>
    </w:p>
    <w:p w14:paraId="30F45FF4">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根据《应急管理部办公厅关于印发17项行业标准制修订计划的通知》（应急厅函</w:t>
      </w:r>
      <w:r>
        <w:rPr>
          <w:rFonts w:hint="eastAsia" w:ascii="宋体" w:hAnsi="宋体" w:eastAsia="仿宋_GB2312" w:cs="Times New Roman"/>
          <w:sz w:val="32"/>
          <w:szCs w:val="32"/>
          <w:highlight w:val="none"/>
          <w:shd w:val="clear" w:color="auto" w:fill="FFFFFF"/>
          <w:lang w:val="en-US" w:eastAsia="zh-CN"/>
        </w:rPr>
        <w:t>[</w:t>
      </w:r>
      <w:r>
        <w:rPr>
          <w:rFonts w:hint="eastAsia" w:ascii="宋体" w:hAnsi="宋体" w:eastAsia="仿宋_GB2312" w:cs="Times New Roman"/>
          <w:sz w:val="32"/>
          <w:szCs w:val="32"/>
          <w:highlight w:val="none"/>
          <w:shd w:val="clear" w:color="auto" w:fill="FFFFFF"/>
        </w:rPr>
        <w:t>2026</w:t>
      </w:r>
      <w:r>
        <w:rPr>
          <w:rFonts w:hint="eastAsia" w:ascii="宋体" w:hAnsi="宋体" w:eastAsia="仿宋_GB2312" w:cs="Times New Roman"/>
          <w:sz w:val="32"/>
          <w:szCs w:val="32"/>
          <w:highlight w:val="none"/>
          <w:shd w:val="clear" w:color="auto" w:fill="FFFFFF"/>
          <w:lang w:val="en-US" w:eastAsia="zh-CN"/>
        </w:rPr>
        <w:t>]</w:t>
      </w:r>
      <w:r>
        <w:rPr>
          <w:rFonts w:hint="eastAsia" w:ascii="宋体" w:hAnsi="宋体" w:eastAsia="仿宋_GB2312" w:cs="Times New Roman"/>
          <w:sz w:val="32"/>
          <w:szCs w:val="32"/>
          <w:highlight w:val="none"/>
          <w:shd w:val="clear" w:color="auto" w:fill="FFFFFF"/>
        </w:rPr>
        <w:t>84号），《海洋石油天然气井下作业安全规范》的制订计划编号为2026-AQ-2，由全国安全生产标准化技术委员会石油天然气开采安全分技术委员会（TC 288/SC10，以下简称“石油安全分标委”）组织起草和审查。</w:t>
      </w:r>
    </w:p>
    <w:p w14:paraId="5C42B3DE">
      <w:pPr>
        <w:adjustRightInd w:val="0"/>
        <w:spacing w:line="560" w:lineRule="exact"/>
        <w:ind w:firstLine="640" w:firstLineChars="200"/>
        <w:rPr>
          <w:rFonts w:ascii="宋体" w:hAnsi="宋体" w:eastAsia="仿宋_GB2312" w:cs="Times New Roman"/>
          <w:color w:val="000000"/>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2024年12月20日，石油安全分标委组织召开标准立项协调会，会议研讨拟立项标准的必要性、可行性和编制思路。2025年6月5日，应急管理部组织召开2025年标准立项评审会，会议通过《海洋石油天然气井下作业安全规范》立项评审。</w:t>
      </w:r>
    </w:p>
    <w:p w14:paraId="70871944">
      <w:pPr>
        <w:adjustRightInd w:val="0"/>
        <w:spacing w:line="560" w:lineRule="exact"/>
        <w:ind w:firstLine="640" w:firstLineChars="200"/>
        <w:outlineLvl w:val="0"/>
        <w:rPr>
          <w:rFonts w:ascii="宋体" w:hAnsi="宋体" w:eastAsia="楷体" w:cs="Times New Roman"/>
          <w:color w:val="000000"/>
          <w:sz w:val="32"/>
          <w:szCs w:val="32"/>
          <w:highlight w:val="none"/>
          <w:shd w:val="clear" w:color="auto" w:fill="FFFFFF"/>
        </w:rPr>
      </w:pPr>
      <w:bookmarkStart w:id="974" w:name="_Toc15638"/>
      <w:bookmarkStart w:id="975" w:name="_Toc15365"/>
      <w:r>
        <w:rPr>
          <w:rFonts w:hint="eastAsia" w:ascii="宋体" w:hAnsi="宋体" w:eastAsia="楷体" w:cs="Times New Roman"/>
          <w:color w:val="000000"/>
          <w:sz w:val="32"/>
          <w:szCs w:val="32"/>
          <w:highlight w:val="none"/>
          <w:shd w:val="clear" w:color="auto" w:fill="FFFFFF"/>
        </w:rPr>
        <w:t>（二）制定背景</w:t>
      </w:r>
      <w:bookmarkEnd w:id="974"/>
      <w:bookmarkEnd w:id="975"/>
    </w:p>
    <w:p w14:paraId="05CA961F">
      <w:pPr>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近年来，我国海洋油气资源开发规模持续扩大，海洋石油工业已成为保障国家能源安全的重要支撑。海洋石油天然气井下作业（以下简称海上井下作业）作为油气生产全流程的关键环节，大多与海上生产设施作业同步实施，作业区域人员集中、逃生通道受限，一旦发生井喷失控、火灾爆炸等事故，极易造成重特大人员伤亡和财产损失，给安全生产管控带来严峻挑战。目前，国内海上井下作业相关标准主要由石油工业安全专业标准化技术委员会归口制定。应急管理部现行相关标准仅有《石油行业安全标准化井下作业实施规范》（AQ 2041-2012），该文件仅针对井下作业单位安全生产标准化建设提出要求，应急管理部海洋石油安全生产监管体系内，尚无专门针对海上井下作业的专项安全规范，标准体系存在明显空白。</w:t>
      </w:r>
    </w:p>
    <w:p w14:paraId="53A855B9">
      <w:pPr>
        <w:spacing w:line="560" w:lineRule="exact"/>
        <w:ind w:firstLine="640" w:firstLineChars="200"/>
        <w:rPr>
          <w:rFonts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为落实国家法律法规及海洋石油安全生产监管相关要求，亟需制定《海洋石油天然气井下作业安全规范》。本标准明确海上井下作业安全生产条件、安全作业要求与应急管理规定，引导从业单位健全安全管理体系、严格落实安全防控措施、提升风险防范与应急处置能力</w:t>
      </w:r>
      <w:r>
        <w:rPr>
          <w:rFonts w:hint="eastAsia" w:ascii="宋体" w:hAnsi="宋体" w:eastAsia="仿宋_GB2312" w:cs="Times New Roman"/>
          <w:sz w:val="32"/>
          <w:szCs w:val="32"/>
          <w:highlight w:val="none"/>
          <w:shd w:val="clear" w:color="auto" w:fill="FFFFFF"/>
          <w:lang w:val="en-US" w:eastAsia="zh-CN"/>
        </w:rPr>
        <w:t>，同时将作为</w:t>
      </w:r>
      <w:r>
        <w:rPr>
          <w:rFonts w:hint="eastAsia" w:ascii="宋体" w:hAnsi="宋体" w:eastAsia="仿宋_GB2312" w:cs="Times New Roman"/>
          <w:sz w:val="32"/>
          <w:szCs w:val="32"/>
          <w:highlight w:val="none"/>
          <w:shd w:val="clear" w:color="auto" w:fill="FFFFFF"/>
        </w:rPr>
        <w:t>海洋石油井下作业执法</w:t>
      </w:r>
      <w:r>
        <w:rPr>
          <w:rFonts w:hint="eastAsia" w:ascii="宋体" w:hAnsi="宋体" w:eastAsia="仿宋_GB2312" w:cs="Times New Roman"/>
          <w:sz w:val="32"/>
          <w:szCs w:val="32"/>
          <w:highlight w:val="none"/>
          <w:shd w:val="clear" w:color="auto" w:fill="FFFFFF"/>
          <w:lang w:val="en-US" w:eastAsia="zh-CN"/>
        </w:rPr>
        <w:t>监管</w:t>
      </w:r>
      <w:r>
        <w:rPr>
          <w:rFonts w:hint="eastAsia" w:ascii="宋体" w:hAnsi="宋体" w:eastAsia="仿宋_GB2312" w:cs="Times New Roman"/>
          <w:sz w:val="32"/>
          <w:szCs w:val="32"/>
          <w:highlight w:val="none"/>
          <w:shd w:val="clear" w:color="auto" w:fill="FFFFFF"/>
        </w:rPr>
        <w:t>的</w:t>
      </w:r>
      <w:r>
        <w:rPr>
          <w:rFonts w:hint="eastAsia" w:ascii="宋体" w:hAnsi="宋体" w:eastAsia="仿宋_GB2312" w:cs="Times New Roman"/>
          <w:sz w:val="32"/>
          <w:szCs w:val="32"/>
          <w:highlight w:val="none"/>
          <w:shd w:val="clear" w:color="auto" w:fill="FFFFFF"/>
          <w:lang w:val="en-US" w:eastAsia="zh-CN"/>
        </w:rPr>
        <w:t>标准</w:t>
      </w:r>
      <w:r>
        <w:rPr>
          <w:rFonts w:hint="eastAsia" w:ascii="宋体" w:hAnsi="宋体" w:eastAsia="仿宋_GB2312" w:cs="Times New Roman"/>
          <w:sz w:val="32"/>
          <w:szCs w:val="32"/>
          <w:highlight w:val="none"/>
          <w:shd w:val="clear" w:color="auto" w:fill="FFFFFF"/>
        </w:rPr>
        <w:t>依据，推动海上井下作业行业规范、安全、有序发展。</w:t>
      </w:r>
    </w:p>
    <w:p w14:paraId="0D9DEDCB">
      <w:pPr>
        <w:spacing w:line="560" w:lineRule="exact"/>
        <w:ind w:firstLine="640" w:firstLineChars="200"/>
        <w:rPr>
          <w:rFonts w:ascii="宋体" w:hAnsi="宋体" w:eastAsia="楷体"/>
          <w:sz w:val="32"/>
          <w:szCs w:val="32"/>
          <w:highlight w:val="none"/>
          <w:shd w:val="clear" w:color="auto" w:fill="FFFFFF"/>
        </w:rPr>
      </w:pPr>
      <w:r>
        <w:rPr>
          <w:rFonts w:ascii="宋体" w:hAnsi="宋体" w:eastAsia="楷体"/>
          <w:sz w:val="32"/>
          <w:szCs w:val="32"/>
          <w:highlight w:val="none"/>
          <w:shd w:val="clear" w:color="auto" w:fill="FFFFFF"/>
        </w:rPr>
        <w:t>（三）起草小组人员组成及所在单位</w:t>
      </w:r>
    </w:p>
    <w:p w14:paraId="6ABFCC7C">
      <w:pPr>
        <w:spacing w:line="560" w:lineRule="exact"/>
        <w:ind w:firstLine="640" w:firstLineChars="200"/>
        <w:rPr>
          <w:rFonts w:ascii="宋体" w:hAnsi="宋体" w:eastAsia="仿宋_GB2312"/>
          <w:sz w:val="32"/>
          <w:szCs w:val="32"/>
          <w:highlight w:val="none"/>
          <w:shd w:val="clear" w:color="auto" w:fill="FFFFFF"/>
        </w:rPr>
      </w:pPr>
      <w:r>
        <w:rPr>
          <w:rFonts w:hint="eastAsia" w:ascii="宋体" w:hAnsi="宋体" w:eastAsia="仿宋_GB2312"/>
          <w:sz w:val="32"/>
          <w:szCs w:val="32"/>
          <w:highlight w:val="none"/>
          <w:shd w:val="clear" w:color="auto" w:fill="FFFFFF"/>
        </w:rPr>
        <w:t>根据立项计划，2025年1月成立标准起草工作组，中海石油（中国）有限公司湛江分公司牵头负责本文件的制订工作。</w:t>
      </w:r>
    </w:p>
    <w:p w14:paraId="4F9B088D">
      <w:pPr>
        <w:adjustRightInd w:val="0"/>
        <w:spacing w:line="560" w:lineRule="exact"/>
        <w:ind w:firstLine="640" w:firstLineChars="200"/>
        <w:outlineLvl w:val="0"/>
        <w:rPr>
          <w:rFonts w:hint="eastAsia" w:ascii="宋体" w:hAnsi="宋体" w:eastAsia="楷体" w:cs="Times New Roman"/>
          <w:color w:val="000000"/>
          <w:sz w:val="32"/>
          <w:szCs w:val="32"/>
          <w:highlight w:val="none"/>
          <w:shd w:val="clear" w:color="auto" w:fill="FFFFFF"/>
          <w:lang w:eastAsia="zh-CN"/>
        </w:rPr>
      </w:pPr>
      <w:bookmarkStart w:id="976" w:name="_Toc24128"/>
      <w:bookmarkStart w:id="977" w:name="_Toc24539"/>
      <w:r>
        <w:rPr>
          <w:rFonts w:hint="eastAsia" w:ascii="宋体" w:hAnsi="宋体" w:eastAsia="楷体" w:cs="Times New Roman"/>
          <w:color w:val="000000"/>
          <w:sz w:val="32"/>
          <w:szCs w:val="32"/>
          <w:highlight w:val="none"/>
          <w:shd w:val="clear" w:color="auto" w:fill="FFFFFF"/>
        </w:rPr>
        <w:t>（四）主要起草过程</w:t>
      </w:r>
      <w:bookmarkEnd w:id="976"/>
      <w:bookmarkEnd w:id="977"/>
    </w:p>
    <w:p w14:paraId="229788A2">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2025年1月至2026年5月，起草组收集整理行业发展现状、国内外技术资料及事故事件案例分析，开展本文件的起草工作。</w:t>
      </w:r>
    </w:p>
    <w:p w14:paraId="14379E04">
      <w:pPr>
        <w:adjustRightInd w:val="0"/>
        <w:spacing w:line="560" w:lineRule="exact"/>
        <w:ind w:firstLine="640" w:firstLineChars="200"/>
        <w:rPr>
          <w:rFonts w:ascii="宋体" w:hAnsi="宋体"/>
          <w:highlight w:val="none"/>
        </w:rPr>
      </w:pPr>
      <w:r>
        <w:rPr>
          <w:rFonts w:hint="eastAsia" w:ascii="宋体" w:hAnsi="宋体" w:eastAsia="仿宋_GB2312" w:cs="Times New Roman"/>
          <w:sz w:val="32"/>
          <w:szCs w:val="32"/>
          <w:highlight w:val="none"/>
          <w:shd w:val="clear" w:color="auto" w:fill="FFFFFF"/>
        </w:rPr>
        <w:t>应急管理部安标委于2026年3月、5月分别组织召开</w:t>
      </w:r>
      <w:r>
        <w:rPr>
          <w:rFonts w:hint="eastAsia" w:ascii="宋体" w:hAnsi="宋体" w:eastAsia="仿宋_GB2312" w:cs="Times New Roman"/>
          <w:sz w:val="32"/>
          <w:szCs w:val="32"/>
          <w:highlight w:val="none"/>
          <w:shd w:val="clear" w:color="auto" w:fill="FFFFFF"/>
          <w:lang w:val="en-US" w:eastAsia="zh-CN"/>
        </w:rPr>
        <w:t>2</w:t>
      </w:r>
      <w:r>
        <w:rPr>
          <w:rFonts w:hint="eastAsia" w:ascii="宋体" w:hAnsi="宋体" w:eastAsia="仿宋_GB2312" w:cs="Times New Roman"/>
          <w:sz w:val="32"/>
          <w:szCs w:val="32"/>
          <w:highlight w:val="none"/>
          <w:shd w:val="clear" w:color="auto" w:fill="FFFFFF"/>
        </w:rPr>
        <w:t>次行业专家研讨会</w:t>
      </w:r>
      <w:r>
        <w:rPr>
          <w:rFonts w:hint="eastAsia" w:ascii="宋体" w:hAnsi="宋体" w:eastAsia="仿宋_GB2312" w:cs="Times New Roman"/>
          <w:sz w:val="32"/>
          <w:szCs w:val="32"/>
          <w:highlight w:val="none"/>
          <w:shd w:val="clear" w:color="auto" w:fill="FFFFFF"/>
          <w:lang w:val="en-US" w:eastAsia="zh-CN"/>
        </w:rPr>
        <w:t>和1次标委会核稿审查会</w:t>
      </w:r>
      <w:r>
        <w:rPr>
          <w:rFonts w:hint="eastAsia" w:ascii="宋体" w:hAnsi="宋体" w:eastAsia="仿宋_GB2312" w:cs="Times New Roman"/>
          <w:sz w:val="32"/>
          <w:szCs w:val="32"/>
          <w:highlight w:val="none"/>
          <w:shd w:val="clear" w:color="auto" w:fill="FFFFFF"/>
        </w:rPr>
        <w:t>，形成征求意见稿。</w:t>
      </w:r>
    </w:p>
    <w:p w14:paraId="12AE0F76">
      <w:pPr>
        <w:widowControl/>
        <w:numPr>
          <w:ilvl w:val="0"/>
          <w:numId w:val="38"/>
        </w:numPr>
        <w:spacing w:line="560" w:lineRule="exact"/>
        <w:ind w:firstLine="640" w:firstLineChars="200"/>
        <w:outlineLvl w:val="0"/>
        <w:rPr>
          <w:rFonts w:ascii="宋体" w:hAnsi="宋体" w:eastAsia="黑体" w:cs="Times New Roman"/>
          <w:color w:val="000000"/>
          <w:sz w:val="32"/>
          <w:szCs w:val="32"/>
          <w:highlight w:val="none"/>
        </w:rPr>
      </w:pPr>
      <w:bookmarkStart w:id="978" w:name="_Toc24835"/>
      <w:bookmarkStart w:id="979" w:name="_Toc5224"/>
      <w:r>
        <w:rPr>
          <w:rFonts w:hint="eastAsia" w:ascii="宋体" w:hAnsi="宋体" w:eastAsia="黑体" w:cs="Times New Roman"/>
          <w:color w:val="000000"/>
          <w:sz w:val="32"/>
          <w:szCs w:val="32"/>
          <w:highlight w:val="none"/>
        </w:rPr>
        <w:t>标准编制原则、主要技术内容及其确定依据</w:t>
      </w:r>
      <w:bookmarkEnd w:id="978"/>
      <w:bookmarkEnd w:id="979"/>
    </w:p>
    <w:p w14:paraId="47760D07">
      <w:pPr>
        <w:adjustRightInd w:val="0"/>
        <w:spacing w:line="560" w:lineRule="exact"/>
        <w:ind w:firstLine="640" w:firstLineChars="200"/>
        <w:outlineLvl w:val="0"/>
        <w:rPr>
          <w:rFonts w:ascii="宋体" w:hAnsi="宋体" w:eastAsia="楷体" w:cs="Times New Roman"/>
          <w:sz w:val="32"/>
          <w:szCs w:val="32"/>
          <w:highlight w:val="none"/>
          <w:shd w:val="clear" w:color="auto" w:fill="FFFFFF"/>
        </w:rPr>
      </w:pPr>
      <w:bookmarkStart w:id="980" w:name="_Toc19587"/>
      <w:bookmarkStart w:id="981" w:name="_Toc19629"/>
      <w:r>
        <w:rPr>
          <w:rFonts w:hint="eastAsia" w:ascii="宋体" w:hAnsi="宋体" w:eastAsia="楷体" w:cs="Times New Roman"/>
          <w:sz w:val="32"/>
          <w:szCs w:val="32"/>
          <w:highlight w:val="none"/>
          <w:shd w:val="clear" w:color="auto" w:fill="FFFFFF"/>
        </w:rPr>
        <w:t>（一）标准编制原则</w:t>
      </w:r>
      <w:bookmarkEnd w:id="980"/>
      <w:bookmarkEnd w:id="981"/>
    </w:p>
    <w:p w14:paraId="424946F9">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本文件在制定的过程中严格执行《标准化工作导则 第1部分：标准化文件的结构和起草规则》（GB/T 1.1-2020）的要求，对标准进行认真的策划和编排，确保标准层次清楚、逻辑严谨、条理通顺，便于实施。</w:t>
      </w:r>
    </w:p>
    <w:p w14:paraId="3DD92DF8">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1.协调性</w:t>
      </w:r>
    </w:p>
    <w:p w14:paraId="50BBF4B4">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标准编制与现行法律法规、规章规范保持协调性，为《海洋石油天然气开采安全规程 第1部分：总则》（GB 40554.1-2021）</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《海洋石油天然气开采安全规程第2部分：海上部分》（GB 40554.2-2025）</w:t>
      </w:r>
      <w:r>
        <w:rPr>
          <w:rFonts w:hint="eastAsia" w:ascii="宋体" w:hAnsi="宋体" w:eastAsia="仿宋_GB2312" w:cs="Times New Roman"/>
          <w:sz w:val="32"/>
          <w:szCs w:val="32"/>
          <w:highlight w:val="none"/>
          <w:shd w:val="clear" w:color="auto" w:fill="FFFFFF"/>
          <w:lang w:val="en-US" w:eastAsia="zh-CN"/>
        </w:rPr>
        <w:t>和</w:t>
      </w:r>
      <w:r>
        <w:rPr>
          <w:rFonts w:hint="eastAsia" w:ascii="宋体" w:hAnsi="宋体" w:eastAsia="仿宋_GB2312" w:cs="Times New Roman"/>
          <w:sz w:val="32"/>
          <w:szCs w:val="32"/>
          <w:highlight w:val="none"/>
          <w:shd w:val="clear" w:color="auto" w:fill="FFFFFF"/>
        </w:rPr>
        <w:t>《海洋石油天然气开采安全规程第</w:t>
      </w:r>
      <w:r>
        <w:rPr>
          <w:rFonts w:hint="eastAsia" w:ascii="宋体" w:hAnsi="宋体" w:eastAsia="仿宋_GB2312" w:cs="Times New Roman"/>
          <w:sz w:val="32"/>
          <w:szCs w:val="32"/>
          <w:highlight w:val="none"/>
          <w:shd w:val="clear" w:color="auto" w:fill="FFFFFF"/>
          <w:lang w:val="en-US" w:eastAsia="zh-CN"/>
        </w:rPr>
        <w:t>4</w:t>
      </w:r>
      <w:r>
        <w:rPr>
          <w:rFonts w:hint="eastAsia" w:ascii="宋体" w:hAnsi="宋体" w:eastAsia="仿宋_GB2312" w:cs="Times New Roman"/>
          <w:sz w:val="32"/>
          <w:szCs w:val="32"/>
          <w:highlight w:val="none"/>
          <w:shd w:val="clear" w:color="auto" w:fill="FFFFFF"/>
        </w:rPr>
        <w:t>部分：</w:t>
      </w:r>
      <w:r>
        <w:rPr>
          <w:rFonts w:hint="eastAsia" w:ascii="宋体" w:hAnsi="宋体" w:eastAsia="仿宋_GB2312" w:cs="Times New Roman"/>
          <w:sz w:val="32"/>
          <w:szCs w:val="32"/>
          <w:highlight w:val="none"/>
          <w:shd w:val="clear" w:color="auto" w:fill="FFFFFF"/>
          <w:lang w:val="en-US" w:eastAsia="zh-CN"/>
        </w:rPr>
        <w:t>滩海</w:t>
      </w:r>
      <w:r>
        <w:rPr>
          <w:rFonts w:hint="eastAsia" w:ascii="宋体" w:hAnsi="宋体" w:eastAsia="仿宋_GB2312" w:cs="Times New Roman"/>
          <w:sz w:val="32"/>
          <w:szCs w:val="32"/>
          <w:highlight w:val="none"/>
          <w:shd w:val="clear" w:color="auto" w:fill="FFFFFF"/>
        </w:rPr>
        <w:t>部分》（GB 40554.</w:t>
      </w:r>
      <w:r>
        <w:rPr>
          <w:rFonts w:hint="eastAsia" w:ascii="宋体" w:hAnsi="宋体" w:eastAsia="仿宋_GB2312" w:cs="Times New Roman"/>
          <w:sz w:val="32"/>
          <w:szCs w:val="32"/>
          <w:highlight w:val="none"/>
          <w:shd w:val="clear" w:color="auto" w:fill="FFFFFF"/>
          <w:lang w:val="en-US" w:eastAsia="zh-CN"/>
        </w:rPr>
        <w:t>4</w:t>
      </w:r>
      <w:r>
        <w:rPr>
          <w:rFonts w:hint="eastAsia" w:ascii="宋体" w:hAnsi="宋体" w:eastAsia="仿宋_GB2312" w:cs="Times New Roman"/>
          <w:sz w:val="32"/>
          <w:szCs w:val="32"/>
          <w:highlight w:val="none"/>
          <w:shd w:val="clear" w:color="auto" w:fill="FFFFFF"/>
        </w:rPr>
        <w:t>-2025）在井下作业安全方面的补充和延伸，基本要求与上述两项国标保持一致；同时具体条款不能与法规要求相冲突。</w:t>
      </w:r>
    </w:p>
    <w:p w14:paraId="6C56D7A5">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2.适用性</w:t>
      </w:r>
    </w:p>
    <w:p w14:paraId="23C2E4A2">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广泛收集目前现行法律法规、标准规范中与海洋石油天然气井下作业的相关要求，充分调研了解海上井下作业发展现状，确保标准条款与行业发展实际和现场实际操作相结合，确保标准的适用性。</w:t>
      </w:r>
    </w:p>
    <w:p w14:paraId="13D715BA">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3.科学性</w:t>
      </w:r>
    </w:p>
    <w:p w14:paraId="5A24725E">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由行业内主要涉及海洋石油天然气井下作业的代表单位参与编制，在行业内具有广泛代表性，作为新制定的标准，充分吸收中海油、中石油、中石化在海上井下作业方面的优秀实践与良好做法，并深刻吸取近些年井下作业相关事故案例经验与教训，进行严格审查，保证标准的科学性。</w:t>
      </w:r>
    </w:p>
    <w:p w14:paraId="2C42813D">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4.可执行性</w:t>
      </w:r>
    </w:p>
    <w:p w14:paraId="2073CFB1">
      <w:pPr>
        <w:adjustRightInd w:val="0"/>
        <w:spacing w:line="560" w:lineRule="exact"/>
        <w:ind w:firstLine="640" w:firstLineChars="200"/>
        <w:rPr>
          <w:rFonts w:ascii="宋体" w:hAnsi="宋体" w:eastAsia="仿宋_GB2312" w:cs="Times New Roman"/>
          <w:iCs/>
          <w:sz w:val="32"/>
          <w:szCs w:val="32"/>
          <w:highlight w:val="none"/>
        </w:rPr>
      </w:pPr>
      <w:r>
        <w:rPr>
          <w:rFonts w:hint="eastAsia" w:ascii="宋体" w:hAnsi="宋体" w:eastAsia="仿宋_GB2312" w:cs="Times New Roman"/>
          <w:sz w:val="32"/>
          <w:szCs w:val="32"/>
          <w:highlight w:val="none"/>
          <w:shd w:val="clear" w:color="auto" w:fill="FFFFFF"/>
        </w:rPr>
        <w:t>标准条款内容广泛征求了相关单位的意见建议，对于反馈的意见建议组织专题讨论，采纳吸收科学合理的意见建议，确保标准内容贴近行业实际需求，兼顾标准的可执行性。</w:t>
      </w:r>
    </w:p>
    <w:p w14:paraId="6252C103">
      <w:pPr>
        <w:adjustRightInd w:val="0"/>
        <w:spacing w:line="560" w:lineRule="exact"/>
        <w:ind w:firstLine="640" w:firstLineChars="200"/>
        <w:outlineLvl w:val="0"/>
        <w:rPr>
          <w:rFonts w:hint="eastAsia" w:ascii="宋体" w:hAnsi="宋体" w:eastAsia="楷体" w:cs="Times New Roman"/>
          <w:sz w:val="32"/>
          <w:szCs w:val="32"/>
          <w:highlight w:val="none"/>
          <w:shd w:val="clear" w:color="auto" w:fill="FFFFFF"/>
          <w:lang w:eastAsia="zh-CN"/>
        </w:rPr>
      </w:pPr>
      <w:bookmarkStart w:id="982" w:name="_Toc24142"/>
      <w:bookmarkStart w:id="983" w:name="_Toc23702"/>
      <w:r>
        <w:rPr>
          <w:rFonts w:hint="eastAsia" w:ascii="宋体" w:hAnsi="宋体" w:eastAsia="楷体" w:cs="Times New Roman"/>
          <w:sz w:val="32"/>
          <w:szCs w:val="32"/>
          <w:highlight w:val="none"/>
          <w:shd w:val="clear" w:color="auto" w:fill="FFFFFF"/>
        </w:rPr>
        <w:t>（二）标准主要技术内容及确定依据</w:t>
      </w:r>
      <w:bookmarkEnd w:id="982"/>
      <w:bookmarkEnd w:id="983"/>
    </w:p>
    <w:p w14:paraId="374F48DC">
      <w:pPr>
        <w:spacing w:line="560" w:lineRule="exact"/>
        <w:ind w:firstLine="612" w:firstLineChars="200"/>
        <w:rPr>
          <w:rFonts w:hint="default" w:ascii="宋体" w:hAnsi="宋体" w:eastAsia="仿宋_GB2312" w:cs="Times New Roman"/>
          <w:sz w:val="32"/>
          <w:szCs w:val="32"/>
          <w:highlight w:val="none"/>
          <w:shd w:val="clear" w:color="auto" w:fill="FFFFFF"/>
          <w:lang w:val="en-US" w:eastAsia="zh-CN"/>
        </w:rPr>
      </w:pPr>
      <w:r>
        <w:rPr>
          <w:rFonts w:hint="eastAsia" w:ascii="仿宋_GB2312" w:hAnsi="仿宋_GB2312" w:eastAsia="仿宋_GB2312" w:cs="仿宋_GB2312"/>
          <w:spacing w:val="-7"/>
          <w:sz w:val="32"/>
          <w:szCs w:val="22"/>
          <w:lang w:val="en-US" w:eastAsia="zh-CN"/>
        </w:rPr>
        <w:t>本标准</w:t>
      </w:r>
      <w:r>
        <w:rPr>
          <w:rFonts w:hint="eastAsia" w:ascii="宋体" w:hAnsi="宋体" w:eastAsia="仿宋_GB2312" w:cs="Times New Roman"/>
          <w:sz w:val="32"/>
          <w:szCs w:val="32"/>
          <w:highlight w:val="none"/>
          <w:shd w:val="clear" w:color="auto" w:fill="FFFFFF"/>
        </w:rPr>
        <w:t>主要技术内容</w:t>
      </w:r>
      <w:r>
        <w:rPr>
          <w:rFonts w:hint="eastAsia" w:ascii="宋体" w:hAnsi="宋体" w:eastAsia="仿宋_GB2312" w:cs="Times New Roman"/>
          <w:sz w:val="32"/>
          <w:szCs w:val="32"/>
          <w:highlight w:val="none"/>
          <w:shd w:val="clear" w:color="auto" w:fill="FFFFFF"/>
          <w:lang w:val="en-US" w:eastAsia="zh-CN"/>
        </w:rPr>
        <w:t>及确定依据如下：</w:t>
      </w:r>
    </w:p>
    <w:p w14:paraId="5C94C358">
      <w:pPr>
        <w:numPr>
          <w:ilvl w:val="0"/>
          <w:numId w:val="39"/>
        </w:numPr>
        <w:tabs>
          <w:tab w:val="left" w:pos="1060"/>
        </w:tabs>
        <w:spacing w:line="560" w:lineRule="exact"/>
        <w:ind w:left="425" w:leftChars="0" w:firstLine="215" w:firstLineChars="0"/>
        <w:rPr>
          <w:rFonts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lang w:val="en-US" w:eastAsia="zh-CN"/>
        </w:rPr>
        <w:t>术语和定义</w:t>
      </w:r>
    </w:p>
    <w:p w14:paraId="4E93D7DE">
      <w:pPr>
        <w:numPr>
          <w:ilvl w:val="0"/>
          <w:numId w:val="0"/>
        </w:numPr>
        <w:tabs>
          <w:tab w:val="left" w:pos="0"/>
        </w:tabs>
        <w:spacing w:line="560" w:lineRule="exact"/>
        <w:ind w:firstLine="64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本章节主要依据《石油天然气工业术语 第1部分：勘探开发》（GB/T 8423.1-2018）以及《井下作业井控技术规程》（SY/T 6690-2024）中的相关定义描述，并结合中海油作业体系要求对井下作业涉及的术语进行定义。</w:t>
      </w:r>
    </w:p>
    <w:p w14:paraId="11706464">
      <w:pPr>
        <w:numPr>
          <w:ilvl w:val="0"/>
          <w:numId w:val="0"/>
        </w:numPr>
        <w:tabs>
          <w:tab w:val="left" w:pos="0"/>
        </w:tabs>
        <w:spacing w:line="560" w:lineRule="exact"/>
        <w:ind w:left="640" w:leftChars="0"/>
        <w:rPr>
          <w:rFonts w:hint="eastAsia" w:ascii="宋体" w:hAnsi="宋体" w:eastAsia="仿宋_GB2312" w:cs="Times New Roman"/>
          <w:b/>
          <w:bCs/>
          <w:sz w:val="32"/>
          <w:szCs w:val="32"/>
          <w:highlight w:val="none"/>
          <w:shd w:val="clear" w:color="auto" w:fill="FFFFFF"/>
        </w:rPr>
      </w:pPr>
      <w:r>
        <w:rPr>
          <w:rFonts w:hint="eastAsia" w:ascii="宋体" w:hAnsi="宋体" w:eastAsia="仿宋_GB2312" w:cs="Times New Roman"/>
          <w:b/>
          <w:bCs/>
          <w:sz w:val="32"/>
          <w:szCs w:val="32"/>
          <w:highlight w:val="none"/>
          <w:shd w:val="clear" w:color="auto" w:fill="FFFFFF"/>
          <w:lang w:val="en-US" w:eastAsia="zh-CN"/>
        </w:rPr>
        <w:t>技术参数编写依据：</w:t>
      </w:r>
    </w:p>
    <w:p w14:paraId="36168A62">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lang w:val="en-US" w:eastAsia="zh-CN"/>
        </w:rPr>
        <w:t xml:space="preserve">3.4 </w:t>
      </w:r>
      <w:r>
        <w:rPr>
          <w:rFonts w:hint="eastAsia" w:ascii="宋体" w:hAnsi="宋体" w:eastAsia="仿宋_GB2312" w:cs="Times New Roman"/>
          <w:sz w:val="32"/>
          <w:szCs w:val="32"/>
          <w:highlight w:val="none"/>
          <w:shd w:val="clear" w:color="auto" w:fill="FFFFFF"/>
        </w:rPr>
        <w:t>最大允许关井套压 maximum allowable annulus surface pressure（MAASP）</w:t>
      </w:r>
    </w:p>
    <w:p w14:paraId="13AB4CBB">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关井时套管环形空间所允许的井口最大压力。</w:t>
      </w:r>
    </w:p>
    <w:p w14:paraId="06C94DA1">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注1：新井不超过套管抗内压强度的80%、井口装置、防喷器额定工作压力三者中的最小值；</w:t>
      </w:r>
    </w:p>
    <w:p w14:paraId="6E07D865">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注2：老井根据本区域套损情况以及套管服役年限，参考最近一次的套损检测资料或套管试压数据确定。</w:t>
      </w:r>
    </w:p>
    <w:p w14:paraId="0618E1C2">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659034DA">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《井下作业井控技术规程》（SY/T 6690-2024）</w:t>
      </w:r>
    </w:p>
    <w:p w14:paraId="41F0DC3A">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lang w:val="en-US" w:eastAsia="zh-CN"/>
        </w:rPr>
        <w:t xml:space="preserve">3.15 </w:t>
      </w:r>
      <w:r>
        <w:rPr>
          <w:rFonts w:hint="eastAsia" w:ascii="宋体" w:hAnsi="宋体" w:eastAsia="仿宋_GB2312" w:cs="Times New Roman"/>
          <w:sz w:val="32"/>
          <w:szCs w:val="32"/>
          <w:highlight w:val="none"/>
          <w:shd w:val="clear" w:color="auto" w:fill="FFFFFF"/>
        </w:rPr>
        <w:t>最大允许关井套压 maximum allowable annulus surface pressure（MAASP）</w:t>
      </w:r>
    </w:p>
    <w:p w14:paraId="2A8DF652">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rPr>
        <w:t>关井时套管环形空间所允许的井口最大压力</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lang w:val="en-US" w:eastAsia="zh-CN"/>
        </w:rPr>
        <w:t>此压力不会对该环空任何井屏障部件的完整性产生不利影响。新井不超过套管抗内压强度的80%、井口装置、防喷器额定工作压力三者中的最小值。老井根据本区域套损情况以及套管服役年限，参考最近一次的套损检测资料或套管试压数据确定。</w:t>
      </w:r>
    </w:p>
    <w:p w14:paraId="5A6965EB">
      <w:pPr>
        <w:adjustRightInd w:val="0"/>
        <w:spacing w:line="560" w:lineRule="exact"/>
        <w:ind w:firstLine="640" w:firstLineChars="200"/>
        <w:rPr>
          <w:rFonts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lang w:val="en-US" w:eastAsia="zh-CN"/>
        </w:rPr>
        <w:t>其中“此压力不会对该环空任何井屏障部件的完整性产生不利影响。”是对该压力概念的补充解释，属于赘述。</w:t>
      </w:r>
    </w:p>
    <w:p w14:paraId="2F928C1F">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基本要求</w:t>
      </w:r>
    </w:p>
    <w:p w14:paraId="4A4BAC94">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本章要求的安全风险与隐患管理、安全培训与教育、承包者安全管理、设备完整性、隔离与锁定、个体劳动防护、变更管理、联合作业等安全管理制度主要参照《海洋石油天然气钻井安全规范执行》（AQ ****-2026）执行。</w:t>
      </w:r>
    </w:p>
    <w:p w14:paraId="009802AC">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设计</w:t>
      </w:r>
    </w:p>
    <w:p w14:paraId="5382AE29">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本章结合海洋石油井下作业地质条件复杂、工况风险高、设计专业性强的特点，规范井下作业设计的通用管理、地质设计、作业设计</w:t>
      </w:r>
      <w:r>
        <w:rPr>
          <w:rFonts w:hint="eastAsia" w:ascii="宋体" w:hAnsi="宋体" w:eastAsia="仿宋_GB2312" w:cs="Times New Roman"/>
          <w:sz w:val="32"/>
          <w:szCs w:val="32"/>
          <w:highlight w:val="none"/>
          <w:shd w:val="clear" w:color="auto" w:fill="FFFFFF"/>
          <w:lang w:val="en-US" w:eastAsia="zh-CN"/>
        </w:rPr>
        <w:t>及井控设计</w:t>
      </w:r>
      <w:r>
        <w:rPr>
          <w:rFonts w:hint="eastAsia" w:ascii="宋体" w:hAnsi="宋体" w:eastAsia="仿宋_GB2312" w:cs="Times New Roman"/>
          <w:sz w:val="32"/>
          <w:szCs w:val="32"/>
          <w:highlight w:val="none"/>
          <w:shd w:val="clear" w:color="auto" w:fill="FFFFFF"/>
        </w:rPr>
        <w:t>全流程要求，构建从设计源头管控井下作业安全风险的标准化体系，保障井下作业设计科学合规、安全可控。</w:t>
      </w:r>
    </w:p>
    <w:p w14:paraId="256109C1">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lang w:val="en-US" w:eastAsia="zh-CN"/>
        </w:rPr>
        <w:t>基本</w:t>
      </w:r>
      <w:r>
        <w:rPr>
          <w:rFonts w:hint="eastAsia" w:ascii="宋体" w:hAnsi="宋体" w:eastAsia="仿宋_GB2312" w:cs="Times New Roman"/>
          <w:sz w:val="32"/>
          <w:szCs w:val="32"/>
          <w:highlight w:val="none"/>
          <w:shd w:val="clear" w:color="auto" w:fill="FFFFFF"/>
        </w:rPr>
        <w:t>要求明确了井下设计工作建立设计编制、审核、审批</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变更管理制度</w:t>
      </w:r>
      <w:r>
        <w:rPr>
          <w:rFonts w:hint="eastAsia" w:ascii="宋体" w:hAnsi="宋体" w:eastAsia="仿宋_GB2312" w:cs="Times New Roman"/>
          <w:sz w:val="32"/>
          <w:szCs w:val="32"/>
          <w:highlight w:val="none"/>
          <w:shd w:val="clear" w:color="auto" w:fill="FFFFFF"/>
          <w:lang w:val="en-US" w:eastAsia="zh-CN"/>
        </w:rPr>
        <w:t>以及审批流程要求</w:t>
      </w:r>
      <w:r>
        <w:rPr>
          <w:rFonts w:hint="eastAsia" w:ascii="宋体" w:hAnsi="宋体" w:eastAsia="仿宋_GB2312" w:cs="Times New Roman"/>
          <w:sz w:val="32"/>
          <w:szCs w:val="32"/>
          <w:highlight w:val="none"/>
          <w:shd w:val="clear" w:color="auto" w:fill="FFFFFF"/>
        </w:rPr>
        <w:t>。</w:t>
      </w:r>
    </w:p>
    <w:p w14:paraId="176373AF">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地质设计要求基于详实地质资料开展风险评估并编制安全提示，全面归集本井及邻井地质、工况、流体、压力、作业历史等关键基础资料，重点明确有毒有害气体、异常压力、邻井注采影响等风险信息披露要求，为工艺设计提供精准、完整的地质依据。</w:t>
      </w:r>
    </w:p>
    <w:p w14:paraId="2EC88212">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作业设计要求明确工艺设计需严格依托地质设计成果，结合地层参数、作业工况确定施工流程、技术标准、设备载荷、管柱配置及井控等级。针对含硫、二氧化碳及高温高压特殊井况，专项明确防腐、耐温耐压设计要求，适配特殊工况安全作业需求</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lang w:val="en-US" w:eastAsia="zh-CN"/>
        </w:rPr>
        <w:t>以及井控设计编写内容要求</w:t>
      </w:r>
      <w:r>
        <w:rPr>
          <w:rFonts w:hint="eastAsia" w:ascii="宋体" w:hAnsi="宋体" w:eastAsia="仿宋_GB2312" w:cs="Times New Roman"/>
          <w:sz w:val="32"/>
          <w:szCs w:val="32"/>
          <w:highlight w:val="none"/>
          <w:shd w:val="clear" w:color="auto" w:fill="FFFFFF"/>
        </w:rPr>
        <w:t>。</w:t>
      </w:r>
    </w:p>
    <w:p w14:paraId="4736D86E">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井下作业设施</w:t>
      </w:r>
    </w:p>
    <w:p w14:paraId="6B3FC6E0">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本章依据《海洋石油天然气开采安全规程 第2部分：海上部分》（GB 40554.2）、《海洋石油专业设备检测检验通则》（AQ 2082）、《机械安全 安全防护的实施准则》（GB/T 30574）等国家及行业标准，结合海洋石油井下作业设施类型多、海上环境复杂、作业工况特殊的特点，规范井下作业设施的选型适配、资质取证、进场调试、日常运维、现场防护及变更改造等全流程管理要求，保障井下作业设施安全可靠运行。</w:t>
      </w:r>
    </w:p>
    <w:p w14:paraId="07B0DCB9">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井控</w:t>
      </w:r>
    </w:p>
    <w:p w14:paraId="372DC506">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rPr>
        <w:t>本章依据《海洋石油天然气开采安全规程 第</w:t>
      </w:r>
      <w:r>
        <w:rPr>
          <w:rFonts w:hint="eastAsia" w:ascii="宋体" w:hAnsi="宋体" w:eastAsia="仿宋_GB2312" w:cs="Times New Roman"/>
          <w:sz w:val="32"/>
          <w:szCs w:val="32"/>
          <w:highlight w:val="none"/>
          <w:shd w:val="clear" w:color="auto" w:fill="FFFFFF"/>
          <w:lang w:val="en-US" w:eastAsia="zh-CN"/>
        </w:rPr>
        <w:t>1</w:t>
      </w:r>
      <w:r>
        <w:rPr>
          <w:rFonts w:hint="eastAsia" w:ascii="宋体" w:hAnsi="宋体" w:eastAsia="仿宋_GB2312" w:cs="Times New Roman"/>
          <w:sz w:val="32"/>
          <w:szCs w:val="32"/>
          <w:highlight w:val="none"/>
          <w:shd w:val="clear" w:color="auto" w:fill="FFFFFF"/>
        </w:rPr>
        <w:t>部分：</w:t>
      </w:r>
      <w:r>
        <w:rPr>
          <w:rFonts w:hint="eastAsia" w:ascii="宋体" w:hAnsi="宋体" w:eastAsia="仿宋_GB2312" w:cs="Times New Roman"/>
          <w:sz w:val="32"/>
          <w:szCs w:val="32"/>
          <w:highlight w:val="none"/>
          <w:shd w:val="clear" w:color="auto" w:fill="FFFFFF"/>
          <w:lang w:val="en-US" w:eastAsia="zh-CN"/>
        </w:rPr>
        <w:t>总则</w:t>
      </w:r>
      <w:r>
        <w:rPr>
          <w:rFonts w:hint="eastAsia" w:ascii="宋体" w:hAnsi="宋体" w:eastAsia="仿宋_GB2312" w:cs="Times New Roman"/>
          <w:sz w:val="32"/>
          <w:szCs w:val="32"/>
          <w:highlight w:val="none"/>
          <w:shd w:val="clear" w:color="auto" w:fill="FFFFFF"/>
        </w:rPr>
        <w:t>》（GB 40554.</w:t>
      </w:r>
      <w:r>
        <w:rPr>
          <w:rFonts w:hint="eastAsia" w:ascii="宋体" w:hAnsi="宋体" w:eastAsia="仿宋_GB2312" w:cs="Times New Roman"/>
          <w:sz w:val="32"/>
          <w:szCs w:val="32"/>
          <w:highlight w:val="none"/>
          <w:shd w:val="clear" w:color="auto" w:fill="FFFFFF"/>
          <w:lang w:val="en-US" w:eastAsia="zh-CN"/>
        </w:rPr>
        <w:t>1</w:t>
      </w:r>
      <w:r>
        <w:rPr>
          <w:rFonts w:hint="eastAsia" w:ascii="宋体" w:hAnsi="宋体" w:eastAsia="仿宋_GB2312" w:cs="Times New Roman"/>
          <w:sz w:val="32"/>
          <w:szCs w:val="32"/>
          <w:highlight w:val="none"/>
          <w:shd w:val="clear" w:color="auto" w:fill="FFFFFF"/>
        </w:rPr>
        <w:t>）、</w:t>
      </w:r>
      <w:r>
        <w:rPr>
          <w:rFonts w:hint="eastAsia" w:ascii="宋体" w:hAnsi="宋体" w:eastAsia="仿宋_GB2312" w:cs="Times New Roman"/>
          <w:sz w:val="32"/>
          <w:szCs w:val="32"/>
          <w:highlight w:val="none"/>
          <w:shd w:val="clear" w:color="auto" w:fill="FFFFFF"/>
          <w:lang w:val="en-US" w:eastAsia="zh-CN"/>
        </w:rPr>
        <w:t>《井下作业井控技术规程》（SY/T 6690-2024）以及中海油《海上在生产油气田井下作业井控技术规程》（Q/HS 2124-2021）</w:t>
      </w:r>
      <w:r>
        <w:rPr>
          <w:rFonts w:hint="eastAsia" w:ascii="宋体" w:hAnsi="宋体" w:eastAsia="仿宋_GB2312" w:cs="Times New Roman"/>
          <w:sz w:val="32"/>
          <w:szCs w:val="32"/>
          <w:highlight w:val="none"/>
          <w:shd w:val="clear" w:color="auto" w:fill="FFFFFF"/>
        </w:rPr>
        <w:t>等</w:t>
      </w:r>
      <w:r>
        <w:rPr>
          <w:rFonts w:hint="eastAsia" w:ascii="宋体" w:hAnsi="宋体" w:eastAsia="仿宋_GB2312" w:cs="Times New Roman"/>
          <w:sz w:val="32"/>
          <w:szCs w:val="32"/>
          <w:highlight w:val="none"/>
          <w:shd w:val="clear" w:color="auto" w:fill="FFFFFF"/>
          <w:lang w:val="en-US" w:eastAsia="zh-CN"/>
        </w:rPr>
        <w:t>国标、行标及企业标准</w:t>
      </w:r>
      <w:r>
        <w:rPr>
          <w:rFonts w:hint="eastAsia" w:ascii="宋体" w:hAnsi="宋体" w:eastAsia="仿宋_GB2312" w:cs="Times New Roman"/>
          <w:sz w:val="32"/>
          <w:szCs w:val="32"/>
          <w:highlight w:val="none"/>
          <w:shd w:val="clear" w:color="auto" w:fill="FFFFFF"/>
        </w:rPr>
        <w:t>，结合海洋石油井下作业</w:t>
      </w:r>
      <w:r>
        <w:rPr>
          <w:rFonts w:hint="eastAsia" w:ascii="宋体" w:hAnsi="宋体" w:eastAsia="仿宋_GB2312" w:cs="Times New Roman"/>
          <w:sz w:val="32"/>
          <w:szCs w:val="32"/>
          <w:highlight w:val="none"/>
          <w:shd w:val="clear" w:color="auto" w:fill="FFFFFF"/>
          <w:lang w:val="en-US" w:eastAsia="zh-CN"/>
        </w:rPr>
        <w:t>特点</w:t>
      </w:r>
      <w:r>
        <w:rPr>
          <w:rFonts w:hint="eastAsia" w:ascii="宋体" w:hAnsi="宋体" w:eastAsia="仿宋_GB2312" w:cs="Times New Roman"/>
          <w:sz w:val="32"/>
          <w:szCs w:val="32"/>
          <w:highlight w:val="none"/>
          <w:shd w:val="clear" w:color="auto" w:fill="FFFFFF"/>
        </w:rPr>
        <w:t>，规范井下作业</w:t>
      </w:r>
      <w:r>
        <w:rPr>
          <w:rFonts w:hint="eastAsia" w:ascii="宋体" w:hAnsi="宋体" w:eastAsia="仿宋_GB2312" w:cs="Times New Roman"/>
          <w:sz w:val="32"/>
          <w:szCs w:val="32"/>
          <w:highlight w:val="none"/>
          <w:shd w:val="clear" w:color="auto" w:fill="FFFFFF"/>
          <w:lang w:val="en-US" w:eastAsia="zh-CN"/>
        </w:rPr>
        <w:t>井控工艺要求、井控设备安装与配置以及试压要求</w:t>
      </w:r>
      <w:r>
        <w:rPr>
          <w:rFonts w:hint="eastAsia" w:ascii="宋体" w:hAnsi="宋体" w:eastAsia="仿宋_GB2312" w:cs="Times New Roman"/>
          <w:sz w:val="32"/>
          <w:szCs w:val="32"/>
          <w:highlight w:val="none"/>
          <w:shd w:val="clear" w:color="auto" w:fill="FFFFFF"/>
        </w:rPr>
        <w:t>。</w:t>
      </w:r>
    </w:p>
    <w:p w14:paraId="4BECF968">
      <w:pPr>
        <w:numPr>
          <w:ilvl w:val="0"/>
          <w:numId w:val="0"/>
        </w:numPr>
        <w:tabs>
          <w:tab w:val="left" w:pos="0"/>
        </w:tabs>
        <w:spacing w:line="560" w:lineRule="exact"/>
        <w:ind w:left="640" w:leftChars="0"/>
        <w:rPr>
          <w:rFonts w:hint="eastAsia" w:ascii="宋体" w:hAnsi="宋体" w:eastAsia="仿宋_GB2312" w:cs="Times New Roman"/>
          <w:b/>
          <w:bCs/>
          <w:sz w:val="32"/>
          <w:szCs w:val="32"/>
          <w:highlight w:val="none"/>
          <w:shd w:val="clear" w:color="auto" w:fill="FFFFFF"/>
        </w:rPr>
      </w:pPr>
      <w:r>
        <w:rPr>
          <w:rFonts w:hint="eastAsia" w:ascii="宋体" w:hAnsi="宋体" w:eastAsia="仿宋_GB2312" w:cs="Times New Roman"/>
          <w:b/>
          <w:bCs/>
          <w:sz w:val="32"/>
          <w:szCs w:val="32"/>
          <w:highlight w:val="none"/>
          <w:shd w:val="clear" w:color="auto" w:fill="FFFFFF"/>
          <w:lang w:val="en-US" w:eastAsia="zh-CN"/>
        </w:rPr>
        <w:t>技术参数编写依据：</w:t>
      </w:r>
    </w:p>
    <w:p w14:paraId="48544953">
      <w:pPr>
        <w:numPr>
          <w:ilvl w:val="0"/>
          <w:numId w:val="40"/>
        </w:numPr>
        <w:tabs>
          <w:tab w:val="clear" w:pos="397"/>
        </w:tabs>
        <w:spacing w:line="560" w:lineRule="exact"/>
        <w:ind w:left="14" w:leftChars="0" w:firstLine="406" w:firstLineChars="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lang w:val="en-US" w:eastAsia="zh-CN"/>
        </w:rPr>
        <w:t>7.2.2</w:t>
      </w:r>
      <w:r>
        <w:rPr>
          <w:rFonts w:hint="eastAsia" w:ascii="宋体" w:hAnsi="宋体" w:eastAsia="仿宋_GB2312" w:cs="Times New Roman"/>
          <w:sz w:val="32"/>
          <w:szCs w:val="32"/>
          <w:highlight w:val="none"/>
          <w:shd w:val="clear" w:color="auto" w:fill="FFFFFF"/>
        </w:rPr>
        <w:t>闸板防喷器</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内防喷工具</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井控管汇（线）</w:t>
      </w:r>
      <w:r>
        <w:rPr>
          <w:rFonts w:hint="eastAsia" w:ascii="宋体" w:hAnsi="宋体" w:eastAsia="仿宋_GB2312" w:cs="Times New Roman"/>
          <w:sz w:val="32"/>
          <w:szCs w:val="32"/>
          <w:highlight w:val="none"/>
          <w:shd w:val="clear" w:color="auto" w:fill="FFFFFF"/>
          <w:lang w:val="en-US" w:eastAsia="zh-CN"/>
        </w:rPr>
        <w:t>的</w:t>
      </w:r>
      <w:r>
        <w:rPr>
          <w:rFonts w:hint="eastAsia" w:ascii="宋体" w:hAnsi="宋体" w:eastAsia="仿宋_GB2312" w:cs="Times New Roman"/>
          <w:sz w:val="32"/>
          <w:szCs w:val="32"/>
          <w:highlight w:val="none"/>
          <w:shd w:val="clear" w:color="auto" w:fill="FFFFFF"/>
        </w:rPr>
        <w:t>额定工作压力应不低于作业层位预测最高井口关井压力</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井控管汇（线）连接部件最小通径</w:t>
      </w:r>
      <w:r>
        <w:rPr>
          <w:rFonts w:hint="eastAsia" w:ascii="宋体" w:hAnsi="宋体" w:eastAsia="仿宋_GB2312" w:cs="Times New Roman"/>
          <w:sz w:val="32"/>
          <w:szCs w:val="32"/>
          <w:highlight w:val="none"/>
          <w:shd w:val="clear" w:color="auto" w:fill="FFFFFF"/>
          <w:lang w:val="en-US" w:eastAsia="zh-CN"/>
        </w:rPr>
        <w:t>应</w:t>
      </w:r>
      <w:r>
        <w:rPr>
          <w:rFonts w:hint="eastAsia" w:ascii="宋体" w:hAnsi="宋体" w:eastAsia="仿宋_GB2312" w:cs="Times New Roman"/>
          <w:sz w:val="32"/>
          <w:szCs w:val="32"/>
          <w:highlight w:val="none"/>
          <w:shd w:val="clear" w:color="auto" w:fill="FFFFFF"/>
        </w:rPr>
        <w:t>不小于50.8mm；防喷管线选用软管时，应使用耐火软管，并加装安全链或其他防护措施。</w:t>
      </w:r>
    </w:p>
    <w:p w14:paraId="6B1C2322">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492BE0FB">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《井下作业井控技术规程》（SY/T 6690-2024）</w:t>
      </w:r>
    </w:p>
    <w:p w14:paraId="111B3C3F">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eastAsia="zh-CN"/>
        </w:rPr>
      </w:pPr>
      <w:r>
        <w:rPr>
          <w:rFonts w:hint="eastAsia" w:ascii="宋体" w:hAnsi="宋体" w:eastAsia="仿宋_GB2312" w:cs="Times New Roman"/>
          <w:sz w:val="32"/>
          <w:szCs w:val="32"/>
          <w:highlight w:val="none"/>
          <w:shd w:val="clear" w:color="auto" w:fill="FFFFFF"/>
          <w:lang w:val="en-US" w:eastAsia="zh-CN"/>
        </w:rPr>
        <w:t xml:space="preserve">6.1.1.2 </w:t>
      </w:r>
      <w:r>
        <w:rPr>
          <w:rFonts w:hint="eastAsia" w:ascii="宋体" w:hAnsi="宋体" w:eastAsia="仿宋_GB2312" w:cs="Times New Roman"/>
          <w:sz w:val="32"/>
          <w:szCs w:val="32"/>
          <w:highlight w:val="none"/>
          <w:shd w:val="clear" w:color="auto" w:fill="FFFFFF"/>
        </w:rPr>
        <w:t>闸板防喷器</w:t>
      </w:r>
      <w:r>
        <w:rPr>
          <w:rFonts w:hint="eastAsia" w:ascii="宋体" w:hAnsi="宋体" w:eastAsia="仿宋_GB2312" w:cs="Times New Roman"/>
          <w:sz w:val="32"/>
          <w:szCs w:val="32"/>
          <w:highlight w:val="none"/>
          <w:shd w:val="clear" w:color="auto" w:fill="FFFFFF"/>
          <w:lang w:val="en-US" w:eastAsia="zh-CN"/>
        </w:rPr>
        <w:t>的压力等级</w:t>
      </w:r>
      <w:r>
        <w:rPr>
          <w:rFonts w:hint="eastAsia" w:ascii="宋体" w:hAnsi="宋体" w:eastAsia="仿宋_GB2312" w:cs="Times New Roman"/>
          <w:sz w:val="32"/>
          <w:szCs w:val="32"/>
          <w:highlight w:val="none"/>
          <w:shd w:val="clear" w:color="auto" w:fill="FFFFFF"/>
        </w:rPr>
        <w:t>应不低于作业层位预测最高井口关井压力</w:t>
      </w:r>
      <w:r>
        <w:rPr>
          <w:rFonts w:hint="eastAsia" w:ascii="宋体" w:hAnsi="宋体" w:eastAsia="仿宋_GB2312" w:cs="Times New Roman"/>
          <w:sz w:val="32"/>
          <w:szCs w:val="32"/>
          <w:highlight w:val="none"/>
          <w:shd w:val="clear" w:color="auto" w:fill="FFFFFF"/>
          <w:lang w:eastAsia="zh-CN"/>
        </w:rPr>
        <w:t>。</w:t>
      </w:r>
    </w:p>
    <w:p w14:paraId="7FDC6DD3">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6.1.3.3  节流管汇、压井</w:t>
      </w:r>
      <w:r>
        <w:rPr>
          <w:rFonts w:hint="eastAsia" w:ascii="宋体" w:hAnsi="宋体" w:eastAsia="仿宋_GB2312" w:cs="Times New Roman"/>
          <w:sz w:val="32"/>
          <w:szCs w:val="32"/>
          <w:highlight w:val="none"/>
          <w:shd w:val="clear" w:color="auto" w:fill="FFFFFF"/>
        </w:rPr>
        <w:t>管汇（线）</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lang w:val="en-US" w:eastAsia="zh-CN"/>
        </w:rPr>
        <w:t>防喷管线的压力等级</w:t>
      </w:r>
      <w:r>
        <w:rPr>
          <w:rFonts w:hint="eastAsia" w:ascii="宋体" w:hAnsi="宋体" w:eastAsia="仿宋_GB2312" w:cs="Times New Roman"/>
          <w:sz w:val="32"/>
          <w:szCs w:val="32"/>
          <w:highlight w:val="none"/>
          <w:shd w:val="clear" w:color="auto" w:fill="FFFFFF"/>
        </w:rPr>
        <w:t>应不低于作业层位预测最高井口关井压力</w:t>
      </w:r>
      <w:r>
        <w:rPr>
          <w:rFonts w:hint="eastAsia" w:ascii="宋体" w:hAnsi="宋体" w:eastAsia="仿宋_GB2312" w:cs="Times New Roman"/>
          <w:sz w:val="32"/>
          <w:szCs w:val="32"/>
          <w:highlight w:val="none"/>
          <w:shd w:val="clear" w:color="auto" w:fill="FFFFFF"/>
          <w:lang w:eastAsia="zh-CN"/>
        </w:rPr>
        <w:t>。</w:t>
      </w:r>
    </w:p>
    <w:p w14:paraId="5255D19E">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eastAsia="zh-CN"/>
        </w:rPr>
      </w:pPr>
      <w:r>
        <w:rPr>
          <w:rFonts w:hint="eastAsia" w:ascii="宋体" w:hAnsi="宋体" w:eastAsia="仿宋_GB2312" w:cs="Times New Roman"/>
          <w:sz w:val="32"/>
          <w:szCs w:val="32"/>
          <w:highlight w:val="none"/>
          <w:shd w:val="clear" w:color="auto" w:fill="FFFFFF"/>
          <w:lang w:val="en-US" w:eastAsia="zh-CN"/>
        </w:rPr>
        <w:t xml:space="preserve">6.1.3.6 </w:t>
      </w:r>
      <w:r>
        <w:rPr>
          <w:rFonts w:hint="eastAsia" w:ascii="宋体" w:hAnsi="宋体" w:eastAsia="仿宋_GB2312" w:cs="Times New Roman"/>
          <w:sz w:val="32"/>
          <w:szCs w:val="32"/>
          <w:highlight w:val="none"/>
          <w:shd w:val="clear" w:color="auto" w:fill="FFFFFF"/>
        </w:rPr>
        <w:t>井控管汇（线）连接部件最小通径</w:t>
      </w:r>
      <w:r>
        <w:rPr>
          <w:rFonts w:hint="eastAsia" w:ascii="宋体" w:hAnsi="宋体" w:eastAsia="仿宋_GB2312" w:cs="Times New Roman"/>
          <w:sz w:val="32"/>
          <w:szCs w:val="32"/>
          <w:highlight w:val="none"/>
          <w:shd w:val="clear" w:color="auto" w:fill="FFFFFF"/>
          <w:lang w:val="en-US" w:eastAsia="zh-CN"/>
        </w:rPr>
        <w:t>应</w:t>
      </w:r>
      <w:r>
        <w:rPr>
          <w:rFonts w:hint="eastAsia" w:ascii="宋体" w:hAnsi="宋体" w:eastAsia="仿宋_GB2312" w:cs="Times New Roman"/>
          <w:sz w:val="32"/>
          <w:szCs w:val="32"/>
          <w:highlight w:val="none"/>
          <w:shd w:val="clear" w:color="auto" w:fill="FFFFFF"/>
        </w:rPr>
        <w:t>不小于50.8mm</w:t>
      </w:r>
      <w:r>
        <w:rPr>
          <w:rFonts w:hint="eastAsia" w:ascii="宋体" w:hAnsi="宋体" w:eastAsia="仿宋_GB2312" w:cs="Times New Roman"/>
          <w:sz w:val="32"/>
          <w:szCs w:val="32"/>
          <w:highlight w:val="none"/>
          <w:shd w:val="clear" w:color="auto" w:fill="FFFFFF"/>
          <w:lang w:eastAsia="zh-CN"/>
        </w:rPr>
        <w:t>。</w:t>
      </w:r>
    </w:p>
    <w:p w14:paraId="6A77D9A2">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eastAsia="zh-CN"/>
        </w:rPr>
      </w:pPr>
      <w:r>
        <w:rPr>
          <w:rFonts w:hint="eastAsia" w:ascii="宋体" w:hAnsi="宋体" w:eastAsia="仿宋_GB2312" w:cs="Times New Roman"/>
          <w:sz w:val="32"/>
          <w:szCs w:val="32"/>
          <w:highlight w:val="none"/>
          <w:shd w:val="clear" w:color="auto" w:fill="FFFFFF"/>
          <w:lang w:val="en-US" w:eastAsia="zh-CN"/>
        </w:rPr>
        <w:t xml:space="preserve">6.1.4.3 </w:t>
      </w:r>
      <w:r>
        <w:rPr>
          <w:rFonts w:hint="eastAsia" w:ascii="宋体" w:hAnsi="宋体" w:eastAsia="仿宋_GB2312" w:cs="Times New Roman"/>
          <w:sz w:val="32"/>
          <w:szCs w:val="32"/>
          <w:highlight w:val="none"/>
          <w:shd w:val="clear" w:color="auto" w:fill="FFFFFF"/>
        </w:rPr>
        <w:t>内防喷工具</w:t>
      </w:r>
      <w:r>
        <w:rPr>
          <w:rFonts w:hint="eastAsia" w:ascii="宋体" w:hAnsi="宋体" w:eastAsia="仿宋_GB2312" w:cs="Times New Roman"/>
          <w:sz w:val="32"/>
          <w:szCs w:val="32"/>
          <w:highlight w:val="none"/>
          <w:shd w:val="clear" w:color="auto" w:fill="FFFFFF"/>
          <w:lang w:val="en-US" w:eastAsia="zh-CN"/>
        </w:rPr>
        <w:t>的压力等级</w:t>
      </w:r>
      <w:r>
        <w:rPr>
          <w:rFonts w:hint="eastAsia" w:ascii="宋体" w:hAnsi="宋体" w:eastAsia="仿宋_GB2312" w:cs="Times New Roman"/>
          <w:sz w:val="32"/>
          <w:szCs w:val="32"/>
          <w:highlight w:val="none"/>
          <w:shd w:val="clear" w:color="auto" w:fill="FFFFFF"/>
        </w:rPr>
        <w:t>应不低于作业层位预测最高井口关井压力</w:t>
      </w:r>
      <w:r>
        <w:rPr>
          <w:rFonts w:hint="eastAsia" w:ascii="宋体" w:hAnsi="宋体" w:eastAsia="仿宋_GB2312" w:cs="Times New Roman"/>
          <w:sz w:val="32"/>
          <w:szCs w:val="32"/>
          <w:highlight w:val="none"/>
          <w:shd w:val="clear" w:color="auto" w:fill="FFFFFF"/>
          <w:lang w:eastAsia="zh-CN"/>
        </w:rPr>
        <w:t>。</w:t>
      </w:r>
    </w:p>
    <w:p w14:paraId="0F9497E8">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7.3.1 井控设备年度检验期间应按照额定工作压力试压；现场安装后，在不超过套管抗内压强度80%的前提下，环形防喷器（封闭管柱）、闸板防喷器、内防喷工具和井控管汇（线）应按照不低于预测最高井口关井压力试压，且环形防喷器试压不应超过额定工作压力的70%。</w:t>
      </w:r>
    </w:p>
    <w:p w14:paraId="10ADCE06">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7.3.2所有压力试验均应先进行低压试验，低压试验压力为2.1MPa，稳压时间不少于5min，压降不超过0.07MPa；高压试验稳压时间不少于10min，压降不超过0.7MPa；密封部件无渗漏为合格；试压记录应由作业人员签字并保留。</w:t>
      </w:r>
    </w:p>
    <w:p w14:paraId="3394EED8">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7.3.3井控装置的试压周期应满足以下要求：</w:t>
      </w:r>
    </w:p>
    <w:p w14:paraId="0848A243">
      <w:pPr>
        <w:numPr>
          <w:ilvl w:val="0"/>
          <w:numId w:val="41"/>
        </w:numPr>
        <w:tabs>
          <w:tab w:val="left" w:pos="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井控装置现场组合安装后；</w:t>
      </w:r>
    </w:p>
    <w:p w14:paraId="53BE40FC">
      <w:pPr>
        <w:numPr>
          <w:ilvl w:val="0"/>
          <w:numId w:val="41"/>
        </w:numPr>
        <w:tabs>
          <w:tab w:val="left" w:pos="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正常作业期间，试压间隔不超过14天；</w:t>
      </w:r>
    </w:p>
    <w:p w14:paraId="17C77C87">
      <w:pPr>
        <w:numPr>
          <w:ilvl w:val="0"/>
          <w:numId w:val="41"/>
        </w:numPr>
        <w:tabs>
          <w:tab w:val="left" w:pos="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每次拆装防喷器组及井控管汇后；</w:t>
      </w:r>
    </w:p>
    <w:p w14:paraId="7AE1CC31">
      <w:pPr>
        <w:numPr>
          <w:ilvl w:val="0"/>
          <w:numId w:val="41"/>
        </w:numPr>
        <w:tabs>
          <w:tab w:val="left" w:pos="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 xml:space="preserve">每次节流放喷后； </w:t>
      </w:r>
    </w:p>
    <w:p w14:paraId="4B28D9F3">
      <w:pPr>
        <w:numPr>
          <w:ilvl w:val="0"/>
          <w:numId w:val="41"/>
        </w:numPr>
        <w:tabs>
          <w:tab w:val="left" w:pos="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现场维修更换密封件后。</w:t>
      </w:r>
    </w:p>
    <w:p w14:paraId="629DE182">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编写依据1：</w:t>
      </w:r>
    </w:p>
    <w:p w14:paraId="22EF58B8">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《井下作业井控技术规程》（SY/T 6690-2024）</w:t>
      </w:r>
    </w:p>
    <w:p w14:paraId="1A444F44">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6.3.2.1 井控装置应定期送至井控车间（基地）进行试压检验。</w:t>
      </w:r>
    </w:p>
    <w:p w14:paraId="1D87A38A">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6.3.2.2环形防喷器（封闭管柱）、闸板防喷器、作业四通、防喷管线、内防喷工具和压井管汇等应做额定工作压力试压。</w:t>
      </w:r>
    </w:p>
    <w:p w14:paraId="558DC6BE">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编写依据2：</w:t>
      </w:r>
    </w:p>
    <w:p w14:paraId="49268292">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中海油企业标准《海上在生产油气田井下作业井控技术规程》（Q/HS 2124-2021）</w:t>
      </w:r>
    </w:p>
    <w:p w14:paraId="7E96B7C6">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5.2.1 试压要求：</w:t>
      </w:r>
    </w:p>
    <w:p w14:paraId="0F149F23">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a）</w:t>
      </w:r>
      <w:r>
        <w:rPr>
          <w:rFonts w:hint="default" w:ascii="宋体" w:hAnsi="宋体" w:eastAsia="仿宋_GB2312" w:cs="Times New Roman"/>
          <w:sz w:val="32"/>
          <w:szCs w:val="32"/>
          <w:highlight w:val="none"/>
          <w:shd w:val="clear" w:color="auto" w:fill="FFFFFF"/>
          <w:lang w:val="en-US" w:eastAsia="zh-CN"/>
        </w:rPr>
        <w:t>防喷器现场安装后，整体进行清水（或海水）试压，应先做低压试验再做高压试验，低压试 验压力 1.7MPa ～ 2.4MPa，稳压时间不少于 5min，压降不超过 0.07MPa 为合格 ；高压试验稳 压时间不少于 15min，压降不超过 0.7MPa ，密封部件无渗漏为合格。</w:t>
      </w:r>
    </w:p>
    <w:p w14:paraId="3F4FB279">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default" w:ascii="宋体" w:hAnsi="宋体" w:eastAsia="仿宋_GB2312" w:cs="Times New Roman"/>
          <w:sz w:val="32"/>
          <w:szCs w:val="32"/>
          <w:highlight w:val="none"/>
          <w:shd w:val="clear" w:color="auto" w:fill="FFFFFF"/>
          <w:lang w:val="en-US" w:eastAsia="zh-CN"/>
        </w:rPr>
        <w:t>b）在不超过套管抗内压强度 80% 的前提下，防喷器组、防喷管汇、节流管汇、压井管汇的高压试验压力不低于当前地层最大压力。</w:t>
      </w:r>
    </w:p>
    <w:p w14:paraId="7FA086CE">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5</w:t>
      </w:r>
      <w:r>
        <w:rPr>
          <w:rFonts w:hint="default" w:ascii="宋体" w:hAnsi="宋体" w:eastAsia="仿宋_GB2312" w:cs="Times New Roman"/>
          <w:sz w:val="32"/>
          <w:szCs w:val="32"/>
          <w:highlight w:val="none"/>
          <w:shd w:val="clear" w:color="auto" w:fill="FFFFFF"/>
          <w:lang w:val="en-US" w:eastAsia="zh-CN"/>
        </w:rPr>
        <w:t xml:space="preserve">.2.2 </w:t>
      </w:r>
      <w:r>
        <w:rPr>
          <w:rFonts w:hint="eastAsia" w:ascii="宋体" w:hAnsi="宋体" w:eastAsia="仿宋_GB2312" w:cs="Times New Roman"/>
          <w:sz w:val="32"/>
          <w:szCs w:val="32"/>
          <w:highlight w:val="none"/>
          <w:shd w:val="clear" w:color="auto" w:fill="FFFFFF"/>
          <w:lang w:val="en-US" w:eastAsia="zh-CN"/>
        </w:rPr>
        <w:t>试</w:t>
      </w:r>
      <w:r>
        <w:rPr>
          <w:rFonts w:hint="default" w:ascii="宋体" w:hAnsi="宋体" w:eastAsia="仿宋_GB2312" w:cs="Times New Roman"/>
          <w:sz w:val="32"/>
          <w:szCs w:val="32"/>
          <w:highlight w:val="none"/>
          <w:shd w:val="clear" w:color="auto" w:fill="FFFFFF"/>
          <w:lang w:val="en-US" w:eastAsia="zh-CN"/>
        </w:rPr>
        <w:t>压周期 ：</w:t>
      </w:r>
    </w:p>
    <w:p w14:paraId="43EB610E">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default" w:ascii="宋体" w:hAnsi="宋体" w:eastAsia="仿宋_GB2312" w:cs="Times New Roman"/>
          <w:sz w:val="32"/>
          <w:szCs w:val="32"/>
          <w:highlight w:val="none"/>
          <w:shd w:val="clear" w:color="auto" w:fill="FFFFFF"/>
          <w:lang w:val="en-US" w:eastAsia="zh-CN"/>
        </w:rPr>
        <w:t xml:space="preserve"> </w:t>
      </w:r>
      <w:r>
        <w:rPr>
          <w:rFonts w:hint="eastAsia" w:ascii="宋体" w:hAnsi="宋体" w:eastAsia="仿宋_GB2312" w:cs="Times New Roman"/>
          <w:sz w:val="32"/>
          <w:szCs w:val="32"/>
          <w:highlight w:val="none"/>
          <w:shd w:val="clear" w:color="auto" w:fill="FFFFFF"/>
          <w:lang w:val="en-US" w:eastAsia="zh-CN"/>
        </w:rPr>
        <w:t>a</w:t>
      </w:r>
      <w:r>
        <w:rPr>
          <w:rFonts w:hint="default" w:ascii="宋体" w:hAnsi="宋体" w:eastAsia="仿宋_GB2312" w:cs="Times New Roman"/>
          <w:sz w:val="32"/>
          <w:szCs w:val="32"/>
          <w:highlight w:val="none"/>
          <w:shd w:val="clear" w:color="auto" w:fill="FFFFFF"/>
          <w:lang w:val="en-US" w:eastAsia="zh-CN"/>
        </w:rPr>
        <w:t>）井控装置现场组合安装后 ； b）正常作业期间，试压间隔不超过 14 天 ； c）每次拆装防喷器组及井控管汇后 ； d）每次阻流放喷后 ； e）现场维修更换配件后 ； f）其他必要时。</w:t>
      </w:r>
    </w:p>
    <w:p w14:paraId="33CCA23E">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施工作业</w:t>
      </w:r>
    </w:p>
    <w:p w14:paraId="34505490">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本章依据《海洋石油天然气开采安全规程 第1部分：总则》（GB 40554.1）、《陆上石油天然气井下作业安全规范》（AQ 2084）等相关标准，结合海洋石油井下作业工序繁杂、高危作业类型多、海上作业环境特殊的特点，系统规范井下全品类施工作业的前置准备、工序操作、风险防控及井控管理要求，覆盖常规作业、专项高危作业及海上平台协同作业场景，主要包含</w:t>
      </w:r>
      <w:r>
        <w:rPr>
          <w:rFonts w:hint="eastAsia" w:ascii="宋体" w:hAnsi="宋体" w:eastAsia="仿宋_GB2312" w:cs="Times New Roman"/>
          <w:sz w:val="32"/>
          <w:szCs w:val="32"/>
          <w:highlight w:val="none"/>
          <w:shd w:val="clear" w:color="auto" w:fill="FFFFFF"/>
          <w:lang w:val="en-US" w:eastAsia="zh-CN"/>
        </w:rPr>
        <w:t>基本要求</w:t>
      </w:r>
      <w:r>
        <w:rPr>
          <w:rFonts w:hint="eastAsia" w:ascii="宋体" w:hAnsi="宋体" w:eastAsia="仿宋_GB2312" w:cs="Times New Roman"/>
          <w:sz w:val="32"/>
          <w:szCs w:val="32"/>
          <w:highlight w:val="none"/>
          <w:shd w:val="clear" w:color="auto" w:fill="FFFFFF"/>
        </w:rPr>
        <w:t>、洗压井、拆装井口、起下管柱、</w:t>
      </w:r>
      <w:r>
        <w:rPr>
          <w:rFonts w:hint="eastAsia" w:ascii="宋体" w:hAnsi="宋体" w:eastAsia="仿宋_GB2312" w:cs="Times New Roman"/>
          <w:sz w:val="32"/>
          <w:szCs w:val="32"/>
          <w:highlight w:val="none"/>
          <w:shd w:val="clear" w:color="auto" w:fill="FFFFFF"/>
          <w:lang w:val="en-US" w:eastAsia="zh-CN"/>
        </w:rPr>
        <w:t>套铣/磨铣</w:t>
      </w:r>
      <w:r>
        <w:rPr>
          <w:rFonts w:hint="eastAsia" w:ascii="宋体" w:hAnsi="宋体" w:eastAsia="仿宋_GB2312" w:cs="Times New Roman"/>
          <w:sz w:val="32"/>
          <w:szCs w:val="32"/>
          <w:highlight w:val="none"/>
          <w:shd w:val="clear" w:color="auto" w:fill="FFFFFF"/>
        </w:rPr>
        <w:t>、解卡打捞、酸化/压裂、射孔、钢丝/电缆、连续油管、诱喷/替喷作业、试油（气）共计12个作业程序规定。构建全工序、全流程、全覆盖的施工作业安全管控体系，规范现场作业行为，防范各类施工</w:t>
      </w:r>
      <w:r>
        <w:rPr>
          <w:rFonts w:hint="eastAsia" w:ascii="宋体" w:hAnsi="宋体" w:eastAsia="仿宋_GB2312" w:cs="Times New Roman"/>
          <w:sz w:val="32"/>
          <w:szCs w:val="32"/>
          <w:highlight w:val="none"/>
          <w:shd w:val="clear" w:color="auto" w:fill="FFFFFF"/>
          <w:lang w:val="en-US" w:eastAsia="zh-CN"/>
        </w:rPr>
        <w:t>作业</w:t>
      </w:r>
      <w:r>
        <w:rPr>
          <w:rFonts w:hint="eastAsia" w:ascii="宋体" w:hAnsi="宋体" w:eastAsia="仿宋_GB2312" w:cs="Times New Roman"/>
          <w:sz w:val="32"/>
          <w:szCs w:val="32"/>
          <w:highlight w:val="none"/>
          <w:shd w:val="clear" w:color="auto" w:fill="FFFFFF"/>
        </w:rPr>
        <w:t>风险。</w:t>
      </w:r>
    </w:p>
    <w:p w14:paraId="569F9B03">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根据各作业程序对应特点，结合目前海上作业工作现状，在具体作业过程中，各程序在设备安装和准备、人员的安全行为限制、必要的安全作业工序和安全环境设置等方面进行了明确的规定，具备较强的可执行性。</w:t>
      </w:r>
    </w:p>
    <w:p w14:paraId="01F2F0B6">
      <w:pPr>
        <w:numPr>
          <w:ilvl w:val="0"/>
          <w:numId w:val="0"/>
        </w:numPr>
        <w:tabs>
          <w:tab w:val="left" w:pos="0"/>
        </w:tabs>
        <w:spacing w:line="560" w:lineRule="exact"/>
        <w:ind w:left="640" w:leftChars="0"/>
        <w:rPr>
          <w:rFonts w:hint="eastAsia" w:ascii="宋体" w:hAnsi="宋体" w:eastAsia="仿宋_GB2312" w:cs="Times New Roman"/>
          <w:b/>
          <w:bCs/>
          <w:sz w:val="32"/>
          <w:szCs w:val="32"/>
          <w:highlight w:val="none"/>
          <w:shd w:val="clear" w:color="auto" w:fill="FFFFFF"/>
        </w:rPr>
      </w:pPr>
      <w:r>
        <w:rPr>
          <w:rFonts w:hint="eastAsia" w:ascii="宋体" w:hAnsi="宋体" w:eastAsia="仿宋_GB2312" w:cs="Times New Roman"/>
          <w:b/>
          <w:bCs/>
          <w:sz w:val="32"/>
          <w:szCs w:val="32"/>
          <w:highlight w:val="none"/>
          <w:shd w:val="clear" w:color="auto" w:fill="FFFFFF"/>
          <w:lang w:val="en-US" w:eastAsia="zh-CN"/>
        </w:rPr>
        <w:t>技术参数编写依据：</w:t>
      </w:r>
    </w:p>
    <w:p w14:paraId="0935BE2D">
      <w:pPr>
        <w:numPr>
          <w:ilvl w:val="0"/>
          <w:numId w:val="42"/>
        </w:numPr>
        <w:tabs>
          <w:tab w:val="left" w:pos="-620"/>
          <w:tab w:val="left" w:pos="0"/>
          <w:tab w:val="clear" w:pos="397"/>
        </w:tabs>
        <w:spacing w:line="560" w:lineRule="exact"/>
        <w:ind w:left="14" w:leftChars="0" w:firstLine="406"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8.2.4 循环压井有效体积应不少于1.5倍井筒容积，直至压井液进出口密度差小于0.02g/cm</w:t>
      </w:r>
      <w:r>
        <w:rPr>
          <w:rFonts w:hint="eastAsia" w:ascii="宋体" w:hAnsi="宋体" w:eastAsia="仿宋_GB2312" w:cs="Times New Roman"/>
          <w:sz w:val="32"/>
          <w:szCs w:val="32"/>
          <w:highlight w:val="none"/>
          <w:shd w:val="clear" w:color="auto" w:fill="FFFFFF"/>
          <w:vertAlign w:val="superscript"/>
          <w:lang w:val="en-US" w:eastAsia="zh-CN"/>
        </w:rPr>
        <w:t>3</w:t>
      </w:r>
      <w:r>
        <w:rPr>
          <w:rFonts w:hint="eastAsia" w:ascii="宋体" w:hAnsi="宋体" w:eastAsia="仿宋_GB2312" w:cs="Times New Roman"/>
          <w:sz w:val="32"/>
          <w:szCs w:val="32"/>
          <w:highlight w:val="none"/>
          <w:shd w:val="clear" w:color="auto" w:fill="FFFFFF"/>
          <w:lang w:val="en-US" w:eastAsia="zh-CN"/>
        </w:rPr>
        <w:t>，性能基本一致，停泵后油、套压力均为零，出口无外溢，再进行下步作业。</w:t>
      </w:r>
    </w:p>
    <w:p w14:paraId="3EF32A84">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24D935E2">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《陆上石油天然气井下作业安全规范》（AQ 2084-2025）7.1.3循环压井应不少于1.5个循环周，压井液进出口密度差小于0.02g/cm</w:t>
      </w:r>
      <w:r>
        <w:rPr>
          <w:rFonts w:hint="eastAsia" w:ascii="宋体" w:hAnsi="宋体" w:eastAsia="仿宋_GB2312" w:cs="Times New Roman"/>
          <w:b w:val="0"/>
          <w:bCs w:val="0"/>
          <w:sz w:val="32"/>
          <w:szCs w:val="32"/>
          <w:highlight w:val="none"/>
          <w:shd w:val="clear" w:color="auto" w:fill="FFFFFF"/>
          <w:vertAlign w:val="superscript"/>
          <w:lang w:val="en-US" w:eastAsia="zh-CN"/>
        </w:rPr>
        <w:t>³</w:t>
      </w:r>
      <w:r>
        <w:rPr>
          <w:rFonts w:hint="eastAsia" w:ascii="宋体" w:hAnsi="宋体" w:eastAsia="仿宋_GB2312" w:cs="Times New Roman"/>
          <w:sz w:val="32"/>
          <w:szCs w:val="32"/>
          <w:highlight w:val="none"/>
          <w:shd w:val="clear" w:color="auto" w:fill="FFFFFF"/>
          <w:lang w:val="en-US" w:eastAsia="zh-CN"/>
        </w:rPr>
        <w:t>，停泵油、套压均为0，出口无外溢，再进行下步作业。</w:t>
      </w:r>
    </w:p>
    <w:p w14:paraId="73FD2215">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.4.</w:t>
      </w:r>
      <w:r>
        <w:rPr>
          <w:rFonts w:hint="eastAsia" w:ascii="宋体" w:hAnsi="宋体" w:eastAsia="仿宋_GB2312" w:cs="Times New Roman"/>
          <w:sz w:val="32"/>
          <w:szCs w:val="32"/>
          <w:highlight w:val="none"/>
          <w:shd w:val="clear" w:color="auto" w:fill="FFFFFF"/>
          <w:lang w:val="en-US" w:eastAsia="zh-CN"/>
        </w:rPr>
        <w:t>3</w:t>
      </w:r>
      <w:r>
        <w:rPr>
          <w:rFonts w:hint="default" w:ascii="宋体" w:hAnsi="宋体" w:eastAsia="仿宋_GB2312" w:cs="Times New Roman"/>
          <w:sz w:val="32"/>
          <w:szCs w:val="32"/>
          <w:highlight w:val="none"/>
          <w:shd w:val="clear" w:color="auto" w:fill="FFFFFF"/>
          <w:lang w:val="en-US" w:eastAsia="zh-CN"/>
        </w:rPr>
        <w:t>起下封隔器等大直径工具时应密切监测悬重及井口液面；在油气层井段及顶部以上300m内和大斜度、水平段等位置应控制起下钻速度。</w:t>
      </w:r>
    </w:p>
    <w:p w14:paraId="3E6D04BC">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2E2B79B0">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《陆上石油天然气井下作业安全规范》（AQ 2084-2025）7.3.4：起下大直径工具时，应密切观察悬重及井口液面。在油气层井段及顶部以上300m内，应控制起下速度。</w:t>
      </w:r>
    </w:p>
    <w:p w14:paraId="0BE57B94">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8.4.6 作业</w:t>
      </w:r>
      <w:r>
        <w:rPr>
          <w:rFonts w:hint="default" w:ascii="宋体" w:hAnsi="宋体" w:eastAsia="仿宋_GB2312" w:cs="Times New Roman"/>
          <w:sz w:val="32"/>
          <w:szCs w:val="32"/>
          <w:highlight w:val="none"/>
          <w:shd w:val="clear" w:color="auto" w:fill="FFFFFF"/>
          <w:lang w:val="en-US" w:eastAsia="zh-CN"/>
        </w:rPr>
        <w:t>等停期间应下入不少于作业层位井深三分之一的临时管柱。</w:t>
      </w:r>
    </w:p>
    <w:p w14:paraId="50428E45">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09B2D723">
      <w:pPr>
        <w:numPr>
          <w:ilvl w:val="0"/>
          <w:numId w:val="0"/>
        </w:numPr>
        <w:tabs>
          <w:tab w:val="left" w:pos="0"/>
        </w:tabs>
        <w:spacing w:line="560" w:lineRule="exact"/>
        <w:ind w:left="638" w:leftChars="304" w:firstLine="0"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《陆上石油天然气井下作业安全规范》（AQ 2084-2025）7.3.6：三高油气井起管柱完毕，等停期间应下入不少于作业层位以上井深三分之一的管柱。</w:t>
      </w:r>
    </w:p>
    <w:p w14:paraId="6AACCC23">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.5.4</w:t>
      </w:r>
      <w:r>
        <w:rPr>
          <w:rFonts w:hint="eastAsia" w:ascii="宋体" w:hAnsi="宋体" w:eastAsia="仿宋_GB2312" w:cs="Times New Roman"/>
          <w:sz w:val="32"/>
          <w:szCs w:val="32"/>
          <w:highlight w:val="none"/>
          <w:shd w:val="clear" w:color="auto" w:fill="FFFFFF"/>
          <w:lang w:val="en-US" w:eastAsia="zh-CN"/>
        </w:rPr>
        <w:t xml:space="preserve"> 套铣/磨铣</w:t>
      </w:r>
      <w:r>
        <w:rPr>
          <w:rFonts w:hint="default" w:ascii="宋体" w:hAnsi="宋体" w:eastAsia="仿宋_GB2312" w:cs="Times New Roman"/>
          <w:sz w:val="32"/>
          <w:szCs w:val="32"/>
          <w:highlight w:val="none"/>
          <w:shd w:val="clear" w:color="auto" w:fill="FFFFFF"/>
          <w:lang w:val="en-US" w:eastAsia="zh-CN"/>
        </w:rPr>
        <w:t>作业起管柱前，循环压井液应不少于</w:t>
      </w:r>
      <w:r>
        <w:rPr>
          <w:rFonts w:hint="eastAsia" w:ascii="宋体" w:hAnsi="宋体" w:eastAsia="仿宋_GB2312" w:cs="Times New Roman"/>
          <w:sz w:val="32"/>
          <w:szCs w:val="32"/>
          <w:highlight w:val="none"/>
          <w:shd w:val="clear" w:color="auto" w:fill="FFFFFF"/>
          <w:lang w:val="en-US" w:eastAsia="zh-CN"/>
        </w:rPr>
        <w:t>一周半，且进出口密度差不大于0.02g/cm³</w:t>
      </w:r>
      <w:r>
        <w:rPr>
          <w:rFonts w:hint="default" w:ascii="宋体" w:hAnsi="宋体" w:eastAsia="仿宋_GB2312" w:cs="Times New Roman"/>
          <w:sz w:val="32"/>
          <w:szCs w:val="32"/>
          <w:highlight w:val="none"/>
          <w:shd w:val="clear" w:color="auto" w:fill="FFFFFF"/>
          <w:lang w:val="en-US" w:eastAsia="zh-CN"/>
        </w:rPr>
        <w:t>。</w:t>
      </w:r>
    </w:p>
    <w:p w14:paraId="55C40761">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1E852FBC">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《井下作业井控技术规程》（SY/T 6690-2016）6.6.4 钻磨、套铣作业起管柱前，应循环压井液不少于一周半，且压井液进出口密度差不大于0.02g/cm³。《浅海采油与井下作业安全规程》（SY/T 6321-2022）6.1.5.2 起管柱前，应充分循环修井液不少于一周半，且修井液进出口密度差小于或等于0.02g/cm³。停泵观察60min，井口无溢流后，方可进行下步施工。</w:t>
      </w:r>
    </w:p>
    <w:p w14:paraId="720F52C2">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.6.3　活动解卡作业过程中，最大上提负荷不应超过井内管柱和工具抗拉强度的80%。</w:t>
      </w:r>
    </w:p>
    <w:p w14:paraId="3F4FD9D3">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16BC394C">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《常规修井作业规程 第12部分：解卡打捞》（SY/T 5587.12-2018）6.1.4.1 上提下放反复活动管柱，最大上提负荷不应超过井内管柱或工具抗拉强度的80%。</w:t>
      </w:r>
    </w:p>
    <w:p w14:paraId="2EBFAAE2">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.7.5</w:t>
      </w:r>
      <w:r>
        <w:rPr>
          <w:rFonts w:hint="eastAsia" w:ascii="宋体" w:hAnsi="宋体" w:eastAsia="仿宋_GB2312" w:cs="Times New Roman"/>
          <w:sz w:val="32"/>
          <w:szCs w:val="32"/>
          <w:highlight w:val="none"/>
          <w:shd w:val="clear" w:color="auto" w:fill="FFFFFF"/>
          <w:lang w:val="en-US" w:eastAsia="zh-CN"/>
        </w:rPr>
        <w:t xml:space="preserve"> </w:t>
      </w:r>
      <w:r>
        <w:rPr>
          <w:rFonts w:hint="default" w:ascii="宋体" w:hAnsi="宋体" w:eastAsia="仿宋_GB2312" w:cs="Times New Roman"/>
          <w:sz w:val="32"/>
          <w:szCs w:val="32"/>
          <w:highlight w:val="none"/>
          <w:shd w:val="clear" w:color="auto" w:fill="FFFFFF"/>
          <w:lang w:val="en-US" w:eastAsia="zh-CN"/>
        </w:rPr>
        <w:t>作业船舶高压管汇应使用支架或者安全链固定，布置在作业设施和船舶上的高压管线连接处应固定，长度大于10m的直线段内应增加一个固定点。</w:t>
      </w:r>
    </w:p>
    <w:p w14:paraId="2CB0FD70">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5DCE5370">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《浅海油井压裂设计、施工规范》（SY/T 7493-2020）</w:t>
      </w:r>
    </w:p>
    <w:p w14:paraId="11C8607A">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4.1.5.3 高压管汇应使用支架或者安全链固定，连接处应做平行于管线的纵向固定，应采用高压管线安全固定链在管线上缠绕、打结、拉紧，在端部固定。</w:t>
      </w:r>
    </w:p>
    <w:p w14:paraId="0878A8E9">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4.1.5.4 布置在钻修试采设施和船舶上的高压管线连接处应固定，长度大于10m的直线段内应增加一个固定点。</w:t>
      </w:r>
    </w:p>
    <w:p w14:paraId="43261756">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.8.3</w:t>
      </w:r>
      <w:r>
        <w:rPr>
          <w:rFonts w:hint="eastAsia" w:ascii="宋体" w:hAnsi="宋体" w:eastAsia="仿宋_GB2312" w:cs="Times New Roman"/>
          <w:sz w:val="32"/>
          <w:szCs w:val="32"/>
          <w:highlight w:val="none"/>
          <w:shd w:val="clear" w:color="auto" w:fill="FFFFFF"/>
          <w:lang w:val="en-US" w:eastAsia="zh-CN"/>
        </w:rPr>
        <w:t xml:space="preserve"> </w:t>
      </w:r>
      <w:r>
        <w:rPr>
          <w:rFonts w:hint="default" w:ascii="宋体" w:hAnsi="宋体" w:eastAsia="仿宋_GB2312" w:cs="Times New Roman"/>
          <w:sz w:val="32"/>
          <w:szCs w:val="32"/>
          <w:highlight w:val="none"/>
          <w:shd w:val="clear" w:color="auto" w:fill="FFFFFF"/>
          <w:lang w:val="en-US" w:eastAsia="zh-CN"/>
        </w:rPr>
        <w:t>油管输送射孔应满足以下要求：</w:t>
      </w:r>
    </w:p>
    <w:p w14:paraId="6CCE89D1">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a）</w:t>
      </w:r>
      <w:r>
        <w:rPr>
          <w:rFonts w:hint="default" w:ascii="宋体" w:hAnsi="宋体" w:eastAsia="仿宋_GB2312" w:cs="Times New Roman"/>
          <w:sz w:val="32"/>
          <w:szCs w:val="32"/>
          <w:highlight w:val="none"/>
          <w:shd w:val="clear" w:color="auto" w:fill="FFFFFF"/>
          <w:lang w:val="en-US" w:eastAsia="zh-CN"/>
        </w:rPr>
        <w:t>油管（钻杆）输送射孔作业过程中，起爆装置与射孔器的对接应在井口（钻台）进行，起爆装置与射孔器之间应串接安全隔离装置或不小于2m长度的安全枪。</w:t>
      </w:r>
    </w:p>
    <w:p w14:paraId="7BBE2127">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w:t>
      </w:r>
    </w:p>
    <w:p w14:paraId="3346F3B9">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《常规射孔作业技术规范》（SY/T 5325-2021）8.4.2.8 投棒起爆装置与射孔器的对接应在井口进行，投棒起爆装置与射孔器之间应串接安全隔离装置或不小于2m长度的安全枪。</w:t>
      </w:r>
    </w:p>
    <w:p w14:paraId="039AADC8">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《海洋石油天然气开采安全规程 第2部分：海上部分》（GB 40554.2-2025）7.4.5 射孔枪组装、拆卸时与井口应保持安全距离。油管传输射孔器总成与起爆装置之间应有安全隔离装置或空的枪段。</w:t>
      </w:r>
    </w:p>
    <w:p w14:paraId="7FB9CE64">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.10.2</w:t>
      </w:r>
      <w:r>
        <w:rPr>
          <w:rFonts w:hint="eastAsia" w:ascii="宋体" w:hAnsi="宋体" w:eastAsia="仿宋_GB2312" w:cs="Times New Roman"/>
          <w:sz w:val="32"/>
          <w:szCs w:val="32"/>
          <w:highlight w:val="none"/>
          <w:shd w:val="clear" w:color="auto" w:fill="FFFFFF"/>
          <w:lang w:val="en-US" w:eastAsia="zh-CN"/>
        </w:rPr>
        <w:t xml:space="preserve"> </w:t>
      </w:r>
      <w:r>
        <w:rPr>
          <w:rFonts w:hint="default" w:ascii="宋体" w:hAnsi="宋体" w:eastAsia="仿宋_GB2312" w:cs="Times New Roman"/>
          <w:sz w:val="32"/>
          <w:szCs w:val="32"/>
          <w:highlight w:val="none"/>
          <w:shd w:val="clear" w:color="auto" w:fill="FFFFFF"/>
          <w:lang w:val="en-US" w:eastAsia="zh-CN"/>
        </w:rPr>
        <w:t>井控设备最小额定压力等级应不小于预测最高井口关井压力的1.25倍；连续油管及泵注设备额定压力不小于预测最高施工压力的1.25倍，材质应满足井内介质要求。</w:t>
      </w:r>
    </w:p>
    <w:p w14:paraId="2010810F">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编写依据：《连续油管作业技术规程》（SY/T 7305-2021）4.2.2.2 井控设备最小额定压力等级应不小于预计最高井口关井压力1.25倍，材质应满足井内介质要求。</w:t>
      </w:r>
    </w:p>
    <w:p w14:paraId="13FC5C73">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.10.6</w:t>
      </w:r>
      <w:r>
        <w:rPr>
          <w:rFonts w:hint="eastAsia" w:ascii="宋体" w:hAnsi="宋体" w:eastAsia="仿宋_GB2312" w:cs="Times New Roman"/>
          <w:sz w:val="32"/>
          <w:szCs w:val="32"/>
          <w:highlight w:val="none"/>
          <w:shd w:val="clear" w:color="auto" w:fill="FFFFFF"/>
          <w:lang w:val="en-US" w:eastAsia="zh-CN"/>
        </w:rPr>
        <w:t xml:space="preserve"> </w:t>
      </w:r>
      <w:r>
        <w:rPr>
          <w:rFonts w:hint="default" w:ascii="宋体" w:hAnsi="宋体" w:eastAsia="仿宋_GB2312" w:cs="Times New Roman"/>
          <w:sz w:val="32"/>
          <w:szCs w:val="32"/>
          <w:highlight w:val="none"/>
          <w:shd w:val="clear" w:color="auto" w:fill="FFFFFF"/>
          <w:lang w:val="en-US" w:eastAsia="zh-CN"/>
        </w:rPr>
        <w:t>井控设备应按照预计最高施工压力和预测最高井口关井压力1.1倍两者的最大值进行试压。</w:t>
      </w:r>
    </w:p>
    <w:p w14:paraId="2BA68F12">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编写依据：《连续油管作业技术规程》（SY/T 7305-2021）5.2.5 井控装置应按照预计最高施工压力和1.1倍预计最高井口关井压力的最大值进行试压，试压应按照逐步提高泵压进行，稳压10min以上，压降不超过0.7MPa，无渗漏为合格。</w:t>
      </w:r>
    </w:p>
    <w:p w14:paraId="10C3EAA4">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.10.7</w:t>
      </w:r>
      <w:r>
        <w:rPr>
          <w:rFonts w:hint="eastAsia" w:ascii="宋体" w:hAnsi="宋体" w:eastAsia="仿宋_GB2312" w:cs="Times New Roman"/>
          <w:sz w:val="32"/>
          <w:szCs w:val="32"/>
          <w:highlight w:val="none"/>
          <w:shd w:val="clear" w:color="auto" w:fill="FFFFFF"/>
          <w:lang w:val="en-US" w:eastAsia="zh-CN"/>
        </w:rPr>
        <w:t xml:space="preserve"> </w:t>
      </w:r>
      <w:r>
        <w:rPr>
          <w:rFonts w:hint="default" w:ascii="宋体" w:hAnsi="宋体" w:eastAsia="仿宋_GB2312" w:cs="Times New Roman"/>
          <w:sz w:val="32"/>
          <w:szCs w:val="32"/>
          <w:highlight w:val="none"/>
          <w:shd w:val="clear" w:color="auto" w:fill="FFFFFF"/>
          <w:lang w:val="en-US" w:eastAsia="zh-CN"/>
        </w:rPr>
        <w:t>单流阀连接前应进行密封压力测试，单流阀和连续油管接头试压值应为预测最高井口关井压力的1.1倍，且不应超过额定工作压力。</w:t>
      </w:r>
    </w:p>
    <w:p w14:paraId="425C6745">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编写依据：《连续油管作业技术规程》（SY/T 7305-2021）5.2.3 单流阀和连续油管接头试压值应为预计最大井口关井压力的1.1倍，稳压10min，压降不超过0.7MPa为合格。</w:t>
      </w:r>
    </w:p>
    <w:p w14:paraId="5387E421">
      <w:pPr>
        <w:numPr>
          <w:ilvl w:val="0"/>
          <w:numId w:val="0"/>
        </w:numPr>
        <w:tabs>
          <w:tab w:val="left" w:pos="0"/>
        </w:tabs>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《陆上石油天然气井下作业安全规范》（AQ 2084-2025）7.10.4 单流阀和连续油管接头试压值为预测最高关井压力的1.1倍，稳压时间不少于10min，压降不超过0.7MPa。</w:t>
      </w:r>
    </w:p>
    <w:p w14:paraId="4B905FB3">
      <w:pPr>
        <w:numPr>
          <w:ilvl w:val="0"/>
          <w:numId w:val="42"/>
        </w:numPr>
        <w:tabs>
          <w:tab w:val="left" w:pos="-620"/>
          <w:tab w:val="left" w:pos="0"/>
          <w:tab w:val="clear" w:pos="397"/>
        </w:tabs>
        <w:spacing w:line="560" w:lineRule="exact"/>
        <w:ind w:left="14" w:leftChars="0" w:firstLine="406" w:firstLineChars="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8</w:t>
      </w:r>
      <w:r>
        <w:rPr>
          <w:rFonts w:hint="default" w:ascii="宋体" w:hAnsi="宋体" w:eastAsia="仿宋_GB2312" w:cs="Times New Roman"/>
          <w:sz w:val="32"/>
          <w:szCs w:val="32"/>
          <w:highlight w:val="none"/>
          <w:shd w:val="clear" w:color="auto" w:fill="FFFFFF"/>
          <w:lang w:val="en-US" w:eastAsia="zh-CN"/>
        </w:rPr>
        <w:t>.10.8</w:t>
      </w:r>
      <w:r>
        <w:rPr>
          <w:rFonts w:hint="eastAsia" w:ascii="宋体" w:hAnsi="宋体" w:eastAsia="仿宋_GB2312" w:cs="Times New Roman"/>
          <w:sz w:val="32"/>
          <w:szCs w:val="32"/>
          <w:highlight w:val="none"/>
          <w:shd w:val="clear" w:color="auto" w:fill="FFFFFF"/>
          <w:lang w:val="en-US" w:eastAsia="zh-CN"/>
        </w:rPr>
        <w:t xml:space="preserve"> </w:t>
      </w:r>
      <w:r>
        <w:rPr>
          <w:rFonts w:hint="default" w:ascii="宋体" w:hAnsi="宋体" w:eastAsia="仿宋_GB2312" w:cs="Times New Roman"/>
          <w:sz w:val="32"/>
          <w:szCs w:val="32"/>
          <w:highlight w:val="none"/>
          <w:shd w:val="clear" w:color="auto" w:fill="FFFFFF"/>
          <w:lang w:val="en-US" w:eastAsia="zh-CN"/>
        </w:rPr>
        <w:t>注入头额定工作载荷不小于连续油管模拟计算最大上提力的1.25倍。</w:t>
      </w:r>
    </w:p>
    <w:p w14:paraId="038606D6">
      <w:pPr>
        <w:numPr>
          <w:ilvl w:val="0"/>
          <w:numId w:val="0"/>
        </w:numPr>
        <w:tabs>
          <w:tab w:val="left" w:pos="0"/>
        </w:tabs>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编写依据：《连续油管作业技术规程》（SY/T 7305-2021）4.2.1.1 注人头额定工作载荷不小于连续油管模拟计算最大上提力的1.25倍。</w:t>
      </w:r>
    </w:p>
    <w:p w14:paraId="1CDE0408">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消防与救逃生</w:t>
      </w:r>
    </w:p>
    <w:p w14:paraId="026B8561">
      <w:pPr>
        <w:adjustRightInd w:val="0"/>
        <w:spacing w:line="560" w:lineRule="exact"/>
        <w:ind w:firstLine="640" w:firstLineChars="20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本章主要参照《海洋石油天然气钻井安全规范执行》（AQ ****-2026）执行。</w:t>
      </w:r>
    </w:p>
    <w:p w14:paraId="1AC5EA53">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防火防爆</w:t>
      </w:r>
    </w:p>
    <w:p w14:paraId="3347314C">
      <w:pPr>
        <w:spacing w:line="560" w:lineRule="exact"/>
        <w:ind w:firstLine="640" w:firstLineChars="200"/>
        <w:rPr>
          <w:rFonts w:hint="default"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rPr>
        <w:t>本章</w:t>
      </w:r>
      <w:r>
        <w:rPr>
          <w:rFonts w:hint="eastAsia" w:ascii="宋体" w:hAnsi="宋体" w:eastAsia="仿宋_GB2312" w:cs="Times New Roman"/>
          <w:sz w:val="32"/>
          <w:szCs w:val="32"/>
          <w:highlight w:val="none"/>
          <w:shd w:val="clear" w:color="auto" w:fill="FFFFFF"/>
          <w:lang w:val="en-US" w:eastAsia="zh-CN"/>
        </w:rPr>
        <w:t>主要参照《海洋石油天然气钻井安全规范执行》（AQ ****-2026）执行</w:t>
      </w:r>
      <w:r>
        <w:rPr>
          <w:rFonts w:hint="eastAsia" w:ascii="宋体" w:hAnsi="宋体" w:eastAsia="仿宋_GB2312" w:cs="Times New Roman"/>
          <w:sz w:val="32"/>
          <w:szCs w:val="32"/>
          <w:highlight w:val="none"/>
          <w:shd w:val="clear" w:color="auto" w:fill="FFFFFF"/>
        </w:rPr>
        <w:t>。</w:t>
      </w:r>
    </w:p>
    <w:p w14:paraId="5A74F638">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应急管理</w:t>
      </w:r>
    </w:p>
    <w:p w14:paraId="7836C3B7">
      <w:pPr>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本章</w:t>
      </w:r>
      <w:r>
        <w:rPr>
          <w:rFonts w:hint="eastAsia" w:ascii="宋体" w:hAnsi="宋体" w:eastAsia="仿宋_GB2312" w:cs="Times New Roman"/>
          <w:sz w:val="32"/>
          <w:szCs w:val="32"/>
          <w:highlight w:val="none"/>
          <w:shd w:val="clear" w:color="auto" w:fill="FFFFFF"/>
          <w:lang w:val="en-US" w:eastAsia="zh-CN"/>
        </w:rPr>
        <w:t>主要参照《海洋石油天然气钻井安全规范执行》（AQ ****-2026）执行</w:t>
      </w:r>
      <w:r>
        <w:rPr>
          <w:rFonts w:hint="eastAsia" w:ascii="宋体" w:hAnsi="宋体" w:eastAsia="仿宋_GB2312" w:cs="Times New Roman"/>
          <w:sz w:val="32"/>
          <w:szCs w:val="32"/>
          <w:highlight w:val="none"/>
          <w:shd w:val="clear" w:color="auto" w:fill="FFFFFF"/>
        </w:rPr>
        <w:t>。</w:t>
      </w:r>
    </w:p>
    <w:p w14:paraId="30804793">
      <w:pPr>
        <w:numPr>
          <w:ilvl w:val="0"/>
          <w:numId w:val="39"/>
        </w:numPr>
        <w:tabs>
          <w:tab w:val="left" w:pos="1060"/>
        </w:tabs>
        <w:spacing w:line="560" w:lineRule="exact"/>
        <w:ind w:left="425" w:leftChars="0" w:firstLine="215" w:firstLineChars="0"/>
        <w:rPr>
          <w:rFonts w:hint="eastAsia" w:ascii="宋体" w:hAnsi="宋体" w:eastAsia="仿宋_GB2312" w:cs="Times New Roman"/>
          <w:sz w:val="32"/>
          <w:szCs w:val="32"/>
          <w:highlight w:val="none"/>
          <w:shd w:val="clear" w:color="auto" w:fill="FFFFFF"/>
          <w:lang w:val="en-US" w:eastAsia="zh-CN"/>
        </w:rPr>
      </w:pPr>
      <w:r>
        <w:rPr>
          <w:rFonts w:hint="eastAsia" w:ascii="宋体" w:hAnsi="宋体" w:eastAsia="仿宋_GB2312" w:cs="Times New Roman"/>
          <w:sz w:val="32"/>
          <w:szCs w:val="32"/>
          <w:highlight w:val="none"/>
          <w:shd w:val="clear" w:color="auto" w:fill="FFFFFF"/>
          <w:lang w:val="en-US" w:eastAsia="zh-CN"/>
        </w:rPr>
        <w:t>证实方法</w:t>
      </w:r>
    </w:p>
    <w:p w14:paraId="6407087E">
      <w:pPr>
        <w:numPr>
          <w:ilvl w:val="0"/>
          <w:numId w:val="0"/>
        </w:numPr>
        <w:tabs>
          <w:tab w:val="left" w:pos="0"/>
        </w:tabs>
        <w:spacing w:line="560" w:lineRule="exact"/>
        <w:ind w:firstLine="640" w:firstLineChars="200"/>
        <w:rPr>
          <w:rFonts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本章围绕规范条款落地核查需求，明确四项符合性证实手段，编制过程结合海上井下作业现场监管实践与现行安全生产行政执法查验惯例确定</w:t>
      </w:r>
      <w:r>
        <w:rPr>
          <w:rFonts w:hint="eastAsia" w:ascii="宋体" w:hAnsi="宋体" w:eastAsia="仿宋_GB2312" w:cs="Times New Roman"/>
          <w:sz w:val="32"/>
          <w:szCs w:val="32"/>
          <w:highlight w:val="none"/>
          <w:shd w:val="clear" w:color="auto" w:fill="FFFFFF"/>
          <w:lang w:val="en-US" w:eastAsia="zh-CN"/>
        </w:rPr>
        <w:t>了</w:t>
      </w:r>
      <w:r>
        <w:rPr>
          <w:rFonts w:hint="eastAsia" w:ascii="宋体" w:hAnsi="宋体" w:eastAsia="仿宋_GB2312" w:cs="Times New Roman"/>
          <w:sz w:val="32"/>
          <w:szCs w:val="32"/>
          <w:highlight w:val="none"/>
          <w:shd w:val="clear" w:color="auto" w:fill="FFFFFF"/>
        </w:rPr>
        <w:t>记录审查</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现场审核</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设备测试</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演练评估四类证实方式。四类证实方法互为补充、覆盖资料、现场、设备、应急全维度，既契合海洋石油井下作业监管检查实操习惯，也便于生产单位自查整改与监管部门现场执法判定，提升标准落地的可操作性。</w:t>
      </w:r>
    </w:p>
    <w:p w14:paraId="160E8887">
      <w:pPr>
        <w:adjustRightInd w:val="0"/>
        <w:spacing w:line="560" w:lineRule="exact"/>
        <w:ind w:firstLine="640" w:firstLineChars="200"/>
        <w:outlineLvl w:val="0"/>
        <w:rPr>
          <w:rFonts w:ascii="宋体" w:hAnsi="宋体" w:eastAsia="楷体" w:cs="Times New Roman"/>
          <w:sz w:val="32"/>
          <w:szCs w:val="32"/>
          <w:highlight w:val="none"/>
          <w:shd w:val="clear" w:color="auto" w:fill="FFFFFF"/>
        </w:rPr>
      </w:pPr>
      <w:bookmarkStart w:id="984" w:name="_Toc26596"/>
      <w:bookmarkStart w:id="985" w:name="_Toc2169"/>
      <w:r>
        <w:rPr>
          <w:rFonts w:hint="eastAsia" w:ascii="宋体" w:hAnsi="宋体" w:eastAsia="楷体" w:cs="Times New Roman"/>
          <w:sz w:val="32"/>
          <w:szCs w:val="32"/>
          <w:highlight w:val="none"/>
          <w:shd w:val="clear" w:color="auto" w:fill="FFFFFF"/>
        </w:rPr>
        <w:t>（三）标准修订变化及依据（仅修订标准需要列出）</w:t>
      </w:r>
      <w:bookmarkEnd w:id="984"/>
      <w:bookmarkEnd w:id="985"/>
    </w:p>
    <w:p w14:paraId="38EA650B">
      <w:pPr>
        <w:adjustRightInd w:val="0"/>
        <w:spacing w:line="560" w:lineRule="exact"/>
        <w:ind w:firstLine="640" w:firstLineChars="200"/>
        <w:rPr>
          <w:rFonts w:ascii="宋体" w:hAnsi="宋体" w:eastAsia="仿宋_GB2312" w:cs="Times New Roman"/>
          <w:color w:val="000000"/>
          <w:sz w:val="32"/>
          <w:szCs w:val="32"/>
          <w:highlight w:val="none"/>
          <w:shd w:val="clear" w:color="auto" w:fill="FFFFFF"/>
        </w:rPr>
      </w:pPr>
      <w:r>
        <w:rPr>
          <w:rFonts w:hint="eastAsia" w:ascii="宋体" w:hAnsi="宋体" w:eastAsia="仿宋_GB2312" w:cs="Times New Roman"/>
          <w:iCs/>
          <w:sz w:val="32"/>
          <w:szCs w:val="32"/>
          <w:highlight w:val="none"/>
        </w:rPr>
        <w:t>无。</w:t>
      </w:r>
    </w:p>
    <w:p w14:paraId="1711F658">
      <w:pPr>
        <w:adjustRightInd w:val="0"/>
        <w:spacing w:line="560" w:lineRule="exact"/>
        <w:ind w:firstLine="640" w:firstLineChars="200"/>
        <w:rPr>
          <w:rFonts w:ascii="宋体" w:hAnsi="宋体" w:eastAsia="黑体" w:cs="Times New Roman"/>
          <w:color w:val="000000"/>
          <w:sz w:val="32"/>
          <w:szCs w:val="32"/>
          <w:highlight w:val="none"/>
        </w:rPr>
      </w:pPr>
      <w:r>
        <w:rPr>
          <w:rFonts w:hint="eastAsia" w:ascii="宋体" w:hAnsi="宋体" w:eastAsia="黑体" w:cs="Times New Roman"/>
          <w:color w:val="000000"/>
          <w:sz w:val="32"/>
          <w:szCs w:val="32"/>
          <w:highlight w:val="none"/>
        </w:rPr>
        <w:t>三、试验验证的分析、综述报告、技术经济论证，预期的经济效益、社会效益和生态效益</w:t>
      </w:r>
    </w:p>
    <w:p w14:paraId="2EFA2AB8">
      <w:pPr>
        <w:adjustRightInd w:val="0"/>
        <w:spacing w:line="560" w:lineRule="exact"/>
        <w:ind w:firstLine="640" w:firstLineChars="200"/>
        <w:rPr>
          <w:rFonts w:hint="default" w:ascii="宋体" w:hAnsi="宋体" w:eastAsia="仿宋_GB2312" w:cs="Times New Roman"/>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rPr>
        <w:t>本</w:t>
      </w:r>
      <w:r>
        <w:rPr>
          <w:rFonts w:hint="eastAsia" w:ascii="仿宋_GB2312" w:hAnsi="仿宋_GB2312" w:eastAsia="仿宋_GB2312" w:cs="仿宋_GB2312"/>
          <w:color w:val="000000"/>
          <w:sz w:val="32"/>
          <w:szCs w:val="32"/>
          <w:highlight w:val="none"/>
          <w:lang w:val="en-US" w:eastAsia="zh-CN"/>
        </w:rPr>
        <w:t>文件</w:t>
      </w:r>
      <w:r>
        <w:rPr>
          <w:rFonts w:hint="eastAsia" w:ascii="仿宋_GB2312" w:hAnsi="仿宋_GB2312" w:eastAsia="仿宋_GB2312" w:cs="仿宋_GB2312"/>
          <w:color w:val="000000"/>
          <w:sz w:val="32"/>
          <w:szCs w:val="32"/>
          <w:highlight w:val="none"/>
        </w:rPr>
        <w:t>施行后，为</w:t>
      </w:r>
      <w:r>
        <w:rPr>
          <w:rFonts w:hint="eastAsia" w:ascii="仿宋_GB2312" w:hAnsi="仿宋_GB2312" w:eastAsia="仿宋_GB2312" w:cs="仿宋_GB2312"/>
          <w:color w:val="000000"/>
          <w:sz w:val="32"/>
          <w:szCs w:val="32"/>
          <w:highlight w:val="none"/>
          <w:lang w:eastAsia="zh-CN"/>
        </w:rPr>
        <w:t>海洋石油</w:t>
      </w:r>
      <w:r>
        <w:rPr>
          <w:rFonts w:hint="eastAsia" w:ascii="仿宋_GB2312" w:hAnsi="仿宋_GB2312" w:eastAsia="仿宋_GB2312" w:cs="仿宋_GB2312"/>
          <w:color w:val="000000"/>
          <w:sz w:val="32"/>
          <w:szCs w:val="32"/>
          <w:highlight w:val="none"/>
        </w:rPr>
        <w:t>天然气</w:t>
      </w:r>
      <w:r>
        <w:rPr>
          <w:rFonts w:hint="eastAsia" w:ascii="仿宋_GB2312" w:hAnsi="仿宋_GB2312" w:eastAsia="仿宋_GB2312" w:cs="仿宋_GB2312"/>
          <w:color w:val="000000"/>
          <w:sz w:val="32"/>
          <w:szCs w:val="32"/>
          <w:highlight w:val="none"/>
          <w:lang w:val="en-US" w:eastAsia="zh-CN"/>
        </w:rPr>
        <w:t>井下</w:t>
      </w:r>
      <w:r>
        <w:rPr>
          <w:rFonts w:hint="eastAsia" w:ascii="仿宋_GB2312" w:hAnsi="仿宋_GB2312" w:eastAsia="仿宋_GB2312" w:cs="仿宋_GB2312"/>
          <w:color w:val="000000"/>
          <w:sz w:val="32"/>
          <w:szCs w:val="32"/>
          <w:highlight w:val="none"/>
        </w:rPr>
        <w:t>作业人员提供了规范化的安全工作要求，使其能够掌握</w:t>
      </w:r>
      <w:r>
        <w:rPr>
          <w:rFonts w:hint="eastAsia" w:ascii="仿宋_GB2312" w:hAnsi="仿宋_GB2312" w:eastAsia="仿宋_GB2312" w:cs="仿宋_GB2312"/>
          <w:color w:val="000000"/>
          <w:sz w:val="32"/>
          <w:szCs w:val="32"/>
          <w:highlight w:val="none"/>
          <w:lang w:val="en-US" w:eastAsia="zh-CN"/>
        </w:rPr>
        <w:t>海洋石油天然气在</w:t>
      </w:r>
      <w:r>
        <w:rPr>
          <w:rFonts w:hint="eastAsia" w:ascii="仿宋_GB2312" w:hAnsi="仿宋_GB2312" w:eastAsia="仿宋_GB2312" w:cs="仿宋_GB2312"/>
          <w:color w:val="000000"/>
          <w:sz w:val="32"/>
          <w:szCs w:val="32"/>
          <w:highlight w:val="none"/>
        </w:rPr>
        <w:t>井下作业基本要求、设计、作业设施、</w:t>
      </w:r>
      <w:r>
        <w:rPr>
          <w:rFonts w:hint="eastAsia" w:ascii="仿宋_GB2312" w:hAnsi="仿宋_GB2312" w:eastAsia="仿宋_GB2312" w:cs="仿宋_GB2312"/>
          <w:color w:val="000000"/>
          <w:sz w:val="32"/>
          <w:szCs w:val="32"/>
          <w:highlight w:val="none"/>
          <w:lang w:val="en-US" w:eastAsia="zh-CN"/>
        </w:rPr>
        <w:t>井控、</w:t>
      </w:r>
      <w:r>
        <w:rPr>
          <w:rFonts w:hint="eastAsia" w:ascii="仿宋_GB2312" w:hAnsi="仿宋_GB2312" w:eastAsia="仿宋_GB2312" w:cs="仿宋_GB2312"/>
          <w:color w:val="000000"/>
          <w:sz w:val="32"/>
          <w:szCs w:val="32"/>
          <w:highlight w:val="none"/>
        </w:rPr>
        <w:t>施工作业</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消防与救逃生、防火防爆以及应急管理</w:t>
      </w:r>
      <w:r>
        <w:rPr>
          <w:rFonts w:hint="eastAsia" w:ascii="仿宋_GB2312" w:hAnsi="仿宋_GB2312" w:eastAsia="仿宋_GB2312" w:cs="仿宋_GB2312"/>
          <w:color w:val="000000"/>
          <w:sz w:val="32"/>
          <w:szCs w:val="32"/>
          <w:highlight w:val="none"/>
          <w:lang w:val="en-US" w:eastAsia="zh-CN"/>
        </w:rPr>
        <w:t>方面的</w:t>
      </w:r>
      <w:r>
        <w:rPr>
          <w:rFonts w:hint="eastAsia" w:ascii="仿宋_GB2312" w:hAnsi="仿宋_GB2312" w:eastAsia="仿宋_GB2312" w:cs="仿宋_GB2312"/>
          <w:color w:val="000000"/>
          <w:sz w:val="32"/>
          <w:szCs w:val="32"/>
          <w:highlight w:val="none"/>
        </w:rPr>
        <w:t>要求，</w:t>
      </w:r>
      <w:r>
        <w:rPr>
          <w:rFonts w:hint="eastAsia" w:ascii="仿宋_GB2312" w:hAnsi="仿宋_GB2312" w:eastAsia="仿宋_GB2312" w:cs="仿宋_GB2312"/>
          <w:color w:val="000000"/>
          <w:sz w:val="32"/>
          <w:szCs w:val="32"/>
          <w:highlight w:val="none"/>
          <w:lang w:val="en-US" w:eastAsia="zh-CN"/>
        </w:rPr>
        <w:t>同时</w:t>
      </w:r>
      <w:r>
        <w:rPr>
          <w:rFonts w:hint="eastAsia" w:ascii="仿宋_GB2312" w:hAnsi="仿宋_GB2312" w:eastAsia="仿宋_GB2312" w:cs="仿宋_GB2312"/>
          <w:color w:val="000000"/>
          <w:sz w:val="32"/>
          <w:szCs w:val="32"/>
          <w:highlight w:val="none"/>
        </w:rPr>
        <w:t>也为相关</w:t>
      </w:r>
      <w:r>
        <w:rPr>
          <w:rFonts w:hint="eastAsia" w:ascii="仿宋_GB2312" w:hAnsi="仿宋_GB2312" w:eastAsia="仿宋_GB2312" w:cs="仿宋_GB2312"/>
          <w:color w:val="000000"/>
          <w:sz w:val="32"/>
          <w:szCs w:val="32"/>
          <w:highlight w:val="none"/>
          <w:lang w:val="en-US" w:eastAsia="zh-CN"/>
        </w:rPr>
        <w:t>监督</w:t>
      </w:r>
      <w:r>
        <w:rPr>
          <w:rFonts w:hint="eastAsia" w:ascii="仿宋_GB2312" w:hAnsi="仿宋_GB2312" w:eastAsia="仿宋_GB2312" w:cs="仿宋_GB2312"/>
          <w:color w:val="000000"/>
          <w:sz w:val="32"/>
          <w:szCs w:val="32"/>
          <w:highlight w:val="none"/>
        </w:rPr>
        <w:t>执法人员开现场监督检查提供了统一标准和依据。对进一步提高</w:t>
      </w:r>
      <w:r>
        <w:rPr>
          <w:rFonts w:hint="eastAsia" w:ascii="仿宋_GB2312" w:hAnsi="仿宋_GB2312" w:eastAsia="仿宋_GB2312" w:cs="仿宋_GB2312"/>
          <w:color w:val="000000"/>
          <w:sz w:val="32"/>
          <w:szCs w:val="32"/>
          <w:highlight w:val="none"/>
          <w:lang w:val="en-US" w:eastAsia="zh-CN"/>
        </w:rPr>
        <w:t>作业</w:t>
      </w:r>
      <w:r>
        <w:rPr>
          <w:rFonts w:hint="eastAsia" w:ascii="仿宋_GB2312" w:hAnsi="仿宋_GB2312" w:eastAsia="仿宋_GB2312" w:cs="仿宋_GB2312"/>
          <w:color w:val="000000"/>
          <w:sz w:val="32"/>
          <w:szCs w:val="32"/>
          <w:highlight w:val="none"/>
        </w:rPr>
        <w:t>现场安全管理水平，防范化解</w:t>
      </w:r>
      <w:r>
        <w:rPr>
          <w:rFonts w:hint="eastAsia" w:ascii="仿宋_GB2312" w:hAnsi="仿宋_GB2312" w:eastAsia="仿宋_GB2312" w:cs="仿宋_GB2312"/>
          <w:color w:val="000000"/>
          <w:sz w:val="32"/>
          <w:szCs w:val="32"/>
          <w:highlight w:val="none"/>
          <w:lang w:val="en-US" w:eastAsia="zh-CN"/>
        </w:rPr>
        <w:t>海洋石油天然气井下作业</w:t>
      </w:r>
      <w:r>
        <w:rPr>
          <w:rFonts w:hint="eastAsia" w:ascii="仿宋_GB2312" w:hAnsi="仿宋_GB2312" w:eastAsia="仿宋_GB2312" w:cs="仿宋_GB2312"/>
          <w:color w:val="000000"/>
          <w:sz w:val="32"/>
          <w:szCs w:val="32"/>
          <w:highlight w:val="none"/>
        </w:rPr>
        <w:t>安全风险，杜绝相关安全生产事故具有重要意义</w:t>
      </w:r>
      <w:r>
        <w:rPr>
          <w:rFonts w:hint="eastAsia" w:ascii="宋体" w:hAnsi="宋体" w:eastAsia="仿宋_GB2312" w:cs="Times New Roman"/>
          <w:iCs/>
          <w:sz w:val="32"/>
          <w:szCs w:val="32"/>
          <w:highlight w:val="none"/>
        </w:rPr>
        <w:t>。</w:t>
      </w:r>
    </w:p>
    <w:p w14:paraId="58F154B0">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986" w:name="_Toc9550"/>
      <w:bookmarkStart w:id="987" w:name="_Toc5639"/>
      <w:r>
        <w:rPr>
          <w:rFonts w:hint="eastAsia" w:ascii="宋体" w:hAnsi="宋体" w:eastAsia="黑体" w:cs="Times New Roman"/>
          <w:color w:val="000000"/>
          <w:sz w:val="32"/>
          <w:szCs w:val="32"/>
          <w:highlight w:val="none"/>
        </w:rPr>
        <w:t>与国际、国外同类标准技术内容的对比情况</w:t>
      </w:r>
      <w:bookmarkEnd w:id="986"/>
      <w:bookmarkEnd w:id="987"/>
    </w:p>
    <w:p w14:paraId="587B2B3D">
      <w:pPr>
        <w:adjustRightInd w:val="0"/>
        <w:spacing w:line="560" w:lineRule="exact"/>
        <w:ind w:firstLine="640" w:firstLineChars="200"/>
        <w:rPr>
          <w:rFonts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国际、国外尚无适用的同类标准。</w:t>
      </w:r>
    </w:p>
    <w:p w14:paraId="0D0A2259">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988" w:name="_Toc24004"/>
      <w:bookmarkStart w:id="989" w:name="_Toc2334"/>
      <w:r>
        <w:rPr>
          <w:rFonts w:hint="eastAsia" w:ascii="宋体" w:hAnsi="宋体" w:eastAsia="黑体" w:cs="Times New Roman"/>
          <w:color w:val="000000"/>
          <w:sz w:val="32"/>
          <w:szCs w:val="32"/>
          <w:highlight w:val="none"/>
        </w:rPr>
        <w:t>以国际标准为基础的起草情况、是否合规引用或采用国际国外标准以及未采用国际标准的原因</w:t>
      </w:r>
      <w:bookmarkEnd w:id="988"/>
      <w:bookmarkEnd w:id="989"/>
    </w:p>
    <w:p w14:paraId="0B913FE2">
      <w:pPr>
        <w:adjustRightInd w:val="0"/>
        <w:spacing w:line="560" w:lineRule="exact"/>
        <w:ind w:firstLine="640" w:firstLineChars="200"/>
        <w:rPr>
          <w:rFonts w:ascii="宋体" w:hAnsi="宋体" w:eastAsia="仿宋_GB2312" w:cs="Times New Roman"/>
          <w:color w:val="000000"/>
          <w:sz w:val="32"/>
          <w:szCs w:val="32"/>
          <w:highlight w:val="none"/>
          <w:shd w:val="clear" w:color="auto" w:fill="FFFFFF"/>
        </w:rPr>
      </w:pPr>
      <w:r>
        <w:rPr>
          <w:rFonts w:hint="eastAsia" w:ascii="宋体" w:hAnsi="宋体" w:eastAsia="仿宋_GB2312" w:cs="Times New Roman"/>
          <w:iCs/>
          <w:sz w:val="32"/>
          <w:szCs w:val="32"/>
          <w:highlight w:val="none"/>
        </w:rPr>
        <w:t>本文件未引用或采用国际国外相关标准。</w:t>
      </w:r>
    </w:p>
    <w:p w14:paraId="45B2FBEC">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990" w:name="_Toc30259"/>
      <w:bookmarkStart w:id="991" w:name="_Toc23747"/>
      <w:r>
        <w:rPr>
          <w:rFonts w:hint="eastAsia" w:ascii="宋体" w:hAnsi="宋体" w:eastAsia="黑体" w:cs="Times New Roman"/>
          <w:color w:val="000000"/>
          <w:sz w:val="32"/>
          <w:szCs w:val="32"/>
          <w:highlight w:val="none"/>
        </w:rPr>
        <w:t>与有关法律、行政法规及相关标准水平的关系</w:t>
      </w:r>
      <w:bookmarkEnd w:id="990"/>
      <w:bookmarkEnd w:id="991"/>
    </w:p>
    <w:p w14:paraId="48912D2B">
      <w:pPr>
        <w:adjustRightInd w:val="0"/>
        <w:spacing w:line="560" w:lineRule="exact"/>
        <w:ind w:left="640"/>
        <w:outlineLvl w:val="0"/>
        <w:rPr>
          <w:rFonts w:ascii="宋体" w:hAnsi="宋体" w:eastAsia="楷体" w:cs="Times New Roman"/>
          <w:sz w:val="32"/>
          <w:szCs w:val="32"/>
          <w:highlight w:val="none"/>
          <w:shd w:val="clear" w:color="auto" w:fill="FFFFFF"/>
        </w:rPr>
      </w:pPr>
      <w:bookmarkStart w:id="992" w:name="_Toc27549"/>
      <w:bookmarkStart w:id="993" w:name="_Toc6792"/>
      <w:r>
        <w:rPr>
          <w:rFonts w:hint="eastAsia" w:ascii="宋体" w:hAnsi="宋体" w:eastAsia="楷体" w:cs="Times New Roman"/>
          <w:sz w:val="32"/>
          <w:szCs w:val="32"/>
          <w:highlight w:val="none"/>
          <w:shd w:val="clear" w:color="auto" w:fill="FFFFFF"/>
        </w:rPr>
        <w:t>（一）与有关法律、行政法规、标准关系</w:t>
      </w:r>
      <w:bookmarkEnd w:id="992"/>
      <w:bookmarkEnd w:id="993"/>
    </w:p>
    <w:p w14:paraId="5DE69300">
      <w:pPr>
        <w:adjustRightInd w:val="0"/>
        <w:spacing w:line="560" w:lineRule="exact"/>
        <w:ind w:firstLine="640" w:firstLineChars="200"/>
        <w:rPr>
          <w:rFonts w:hint="eastAsia" w:ascii="宋体" w:hAnsi="宋体" w:eastAsia="仿宋_GB2312" w:cs="Times New Roman"/>
          <w:iCs/>
          <w:sz w:val="32"/>
          <w:szCs w:val="32"/>
          <w:highlight w:val="none"/>
        </w:rPr>
      </w:pPr>
      <w:r>
        <w:rPr>
          <w:rFonts w:hint="eastAsia" w:ascii="宋体" w:hAnsi="宋体" w:eastAsia="仿宋_GB2312" w:cs="Times New Roman"/>
          <w:iCs/>
          <w:sz w:val="32"/>
          <w:szCs w:val="32"/>
          <w:highlight w:val="none"/>
        </w:rPr>
        <w:t>本文件的编制工作在石油安全分标委的工作指导下进行，符合《</w:t>
      </w:r>
      <w:r>
        <w:rPr>
          <w:rFonts w:hint="eastAsia" w:ascii="宋体" w:hAnsi="宋体" w:eastAsia="仿宋_GB2312" w:cs="Times New Roman"/>
          <w:iCs/>
          <w:sz w:val="32"/>
          <w:szCs w:val="32"/>
          <w:highlight w:val="none"/>
          <w:lang w:eastAsia="zh-CN"/>
        </w:rPr>
        <w:t>中华人民共和国</w:t>
      </w:r>
      <w:bookmarkStart w:id="1013" w:name="_GoBack"/>
      <w:bookmarkEnd w:id="1013"/>
      <w:r>
        <w:rPr>
          <w:rFonts w:hint="eastAsia" w:ascii="宋体" w:hAnsi="宋体" w:eastAsia="仿宋_GB2312" w:cs="Times New Roman"/>
          <w:iCs/>
          <w:sz w:val="32"/>
          <w:szCs w:val="32"/>
          <w:highlight w:val="none"/>
        </w:rPr>
        <w:t>安全生产法》《</w:t>
      </w:r>
      <w:r>
        <w:rPr>
          <w:rFonts w:hint="eastAsia" w:ascii="宋体" w:hAnsi="宋体" w:eastAsia="仿宋_GB2312" w:cs="Times New Roman"/>
          <w:iCs/>
          <w:sz w:val="32"/>
          <w:szCs w:val="32"/>
          <w:highlight w:val="none"/>
          <w:lang w:eastAsia="zh-CN"/>
        </w:rPr>
        <w:t>中华人民共和国</w:t>
      </w:r>
      <w:r>
        <w:rPr>
          <w:rFonts w:hint="eastAsia" w:ascii="宋体" w:hAnsi="宋体" w:eastAsia="仿宋_GB2312" w:cs="Times New Roman"/>
          <w:iCs/>
          <w:sz w:val="32"/>
          <w:szCs w:val="32"/>
          <w:highlight w:val="none"/>
        </w:rPr>
        <w:t>标准化法》等相关法律要求。</w:t>
      </w:r>
    </w:p>
    <w:p w14:paraId="7E920AFC">
      <w:pPr>
        <w:adjustRightInd w:val="0"/>
        <w:spacing w:line="560" w:lineRule="exact"/>
        <w:ind w:firstLine="640" w:firstLineChars="200"/>
        <w:rPr>
          <w:rFonts w:hint="eastAsia" w:ascii="宋体" w:hAnsi="宋体" w:eastAsia="仿宋_GB2312" w:cs="Times New Roman"/>
          <w:iCs/>
          <w:sz w:val="32"/>
          <w:szCs w:val="32"/>
          <w:highlight w:val="none"/>
        </w:rPr>
      </w:pPr>
      <w:r>
        <w:rPr>
          <w:rFonts w:hint="eastAsia" w:ascii="宋体" w:hAnsi="宋体" w:eastAsia="仿宋_GB2312" w:cs="Times New Roman"/>
          <w:iCs/>
          <w:sz w:val="32"/>
          <w:szCs w:val="32"/>
          <w:highlight w:val="none"/>
        </w:rPr>
        <w:t>本文件依据《标准化工作导则第1部分：标准化文件的结构和起草规则》（GB/T 1.1-2020）的规定起草。</w:t>
      </w:r>
    </w:p>
    <w:p w14:paraId="2C25D280">
      <w:pPr>
        <w:adjustRightInd w:val="0"/>
        <w:spacing w:line="560" w:lineRule="exact"/>
        <w:ind w:firstLine="640" w:firstLineChars="200"/>
        <w:rPr>
          <w:rFonts w:hint="eastAsia" w:ascii="宋体" w:hAnsi="宋体" w:eastAsia="仿宋_GB2312" w:cs="Times New Roman"/>
          <w:iCs/>
          <w:sz w:val="32"/>
          <w:szCs w:val="32"/>
          <w:highlight w:val="none"/>
        </w:rPr>
      </w:pPr>
      <w:r>
        <w:rPr>
          <w:rFonts w:hint="eastAsia" w:ascii="宋体" w:hAnsi="宋体" w:eastAsia="仿宋_GB2312" w:cs="Times New Roman"/>
          <w:iCs/>
          <w:sz w:val="32"/>
          <w:szCs w:val="32"/>
          <w:highlight w:val="none"/>
        </w:rPr>
        <w:t>本文件遵循《</w:t>
      </w:r>
      <w:r>
        <w:rPr>
          <w:rFonts w:hint="eastAsia" w:ascii="宋体" w:hAnsi="宋体" w:eastAsia="仿宋_GB2312" w:cs="Times New Roman"/>
          <w:iCs/>
          <w:sz w:val="32"/>
          <w:szCs w:val="32"/>
          <w:highlight w:val="none"/>
          <w:lang w:eastAsia="zh-CN"/>
        </w:rPr>
        <w:t>中华人民共和国</w:t>
      </w:r>
      <w:r>
        <w:rPr>
          <w:rFonts w:hint="eastAsia" w:ascii="宋体" w:hAnsi="宋体" w:eastAsia="仿宋_GB2312" w:cs="Times New Roman"/>
          <w:iCs/>
          <w:sz w:val="32"/>
          <w:szCs w:val="32"/>
          <w:highlight w:val="none"/>
        </w:rPr>
        <w:t>安全生产法》《海洋石油安全生产规定》《海洋石油安全管理细则》等相关要求而制定，标准内容是对法律、法规的进一步落实和细化，是指导海洋石油天然气井下作业安全开展的重要支撑。</w:t>
      </w:r>
    </w:p>
    <w:p w14:paraId="66A06493">
      <w:pPr>
        <w:adjustRightInd w:val="0"/>
        <w:spacing w:line="560" w:lineRule="exact"/>
        <w:ind w:firstLine="640" w:firstLineChars="200"/>
        <w:rPr>
          <w:rFonts w:ascii="宋体" w:hAnsi="宋体" w:eastAsia="仿宋_GB2312" w:cs="Times New Roman"/>
          <w:iCs/>
          <w:sz w:val="32"/>
          <w:szCs w:val="32"/>
          <w:highlight w:val="none"/>
        </w:rPr>
      </w:pPr>
      <w:r>
        <w:rPr>
          <w:rFonts w:hint="eastAsia" w:ascii="宋体" w:hAnsi="宋体" w:eastAsia="仿宋_GB2312" w:cs="Times New Roman"/>
          <w:iCs/>
          <w:sz w:val="32"/>
          <w:szCs w:val="32"/>
          <w:highlight w:val="none"/>
        </w:rPr>
        <w:t>本文件将与</w:t>
      </w:r>
      <w:r>
        <w:rPr>
          <w:rFonts w:hint="eastAsia" w:ascii="宋体" w:hAnsi="宋体" w:eastAsia="仿宋_GB2312" w:cs="Times New Roman"/>
          <w:iCs/>
          <w:sz w:val="32"/>
          <w:szCs w:val="32"/>
          <w:highlight w:val="none"/>
          <w:lang w:val="en-US" w:eastAsia="zh-CN"/>
        </w:rPr>
        <w:t>《海洋石油天然气开采安全规程 第1部分：总则》（GB 40554.1-2021）和《海洋石油天然气开采安全规程 第2部分：海上部分》（GB 40554.2-2025）</w:t>
      </w:r>
      <w:r>
        <w:rPr>
          <w:rFonts w:hint="eastAsia" w:ascii="宋体" w:hAnsi="宋体" w:eastAsia="仿宋_GB2312" w:cs="Times New Roman"/>
          <w:iCs/>
          <w:sz w:val="32"/>
          <w:szCs w:val="32"/>
          <w:highlight w:val="none"/>
        </w:rPr>
        <w:t>等强制性标准体系共同在保障海洋石油生产设施、专业设备的安全运行和监督管理等方面发挥积极作用，但不同于其他标准，本文件聚焦于海洋石油天然气井下作业安全管理。</w:t>
      </w:r>
    </w:p>
    <w:p w14:paraId="400461C9">
      <w:pPr>
        <w:adjustRightInd w:val="0"/>
        <w:spacing w:line="560" w:lineRule="exact"/>
        <w:ind w:left="640"/>
        <w:outlineLvl w:val="0"/>
        <w:rPr>
          <w:rFonts w:ascii="宋体" w:hAnsi="宋体" w:eastAsia="楷体" w:cs="Times New Roman"/>
          <w:sz w:val="32"/>
          <w:szCs w:val="32"/>
          <w:highlight w:val="none"/>
          <w:shd w:val="clear" w:color="auto" w:fill="FFFFFF"/>
        </w:rPr>
      </w:pPr>
      <w:bookmarkStart w:id="994" w:name="_Toc14540"/>
      <w:r>
        <w:rPr>
          <w:rFonts w:hint="eastAsia" w:ascii="宋体" w:hAnsi="宋体" w:eastAsia="楷体" w:cs="Times New Roman"/>
          <w:sz w:val="32"/>
          <w:szCs w:val="32"/>
          <w:highlight w:val="none"/>
          <w:shd w:val="clear" w:color="auto" w:fill="FFFFFF"/>
        </w:rPr>
        <w:t>（二）配套推荐性标准的制定情况（强制性标准应填写）</w:t>
      </w:r>
      <w:bookmarkEnd w:id="994"/>
    </w:p>
    <w:p w14:paraId="6A727564">
      <w:pPr>
        <w:adjustRightInd w:val="0"/>
        <w:spacing w:line="560" w:lineRule="exact"/>
        <w:ind w:firstLine="640" w:firstLineChars="200"/>
        <w:rPr>
          <w:rFonts w:ascii="宋体" w:hAnsi="宋体" w:eastAsia="仿宋_GB2312" w:cs="Times New Roman"/>
          <w:color w:val="000000"/>
          <w:sz w:val="32"/>
          <w:szCs w:val="32"/>
          <w:highlight w:val="none"/>
          <w:shd w:val="clear" w:color="auto" w:fill="FFFFFF"/>
        </w:rPr>
      </w:pPr>
      <w:r>
        <w:rPr>
          <w:rFonts w:hint="eastAsia" w:ascii="宋体" w:hAnsi="宋体" w:eastAsia="仿宋_GB2312" w:cs="Times New Roman"/>
          <w:iCs/>
          <w:sz w:val="32"/>
          <w:szCs w:val="32"/>
          <w:highlight w:val="none"/>
        </w:rPr>
        <w:t>本文件作为海洋石油天然气井下作业安全规范类标准，目前没有与本文件相关的推荐性标准制定计划。</w:t>
      </w:r>
    </w:p>
    <w:p w14:paraId="4470C6C3">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995" w:name="_Toc32070"/>
      <w:bookmarkStart w:id="996" w:name="_Toc4664"/>
      <w:r>
        <w:rPr>
          <w:rFonts w:hint="eastAsia" w:ascii="宋体" w:hAnsi="宋体" w:eastAsia="黑体" w:cs="Times New Roman"/>
          <w:color w:val="000000"/>
          <w:sz w:val="32"/>
          <w:szCs w:val="32"/>
          <w:highlight w:val="none"/>
        </w:rPr>
        <w:t>重大分歧意见的处理过程及依据</w:t>
      </w:r>
      <w:bookmarkEnd w:id="995"/>
      <w:bookmarkEnd w:id="996"/>
    </w:p>
    <w:p w14:paraId="055A7901">
      <w:pPr>
        <w:adjustRightInd w:val="0"/>
        <w:spacing w:line="560" w:lineRule="exact"/>
        <w:ind w:firstLine="640" w:firstLineChars="200"/>
        <w:rPr>
          <w:rFonts w:ascii="宋体" w:hAnsi="宋体" w:eastAsia="仿宋_GB2312" w:cs="Times New Roman"/>
          <w:color w:val="000000"/>
          <w:sz w:val="32"/>
          <w:szCs w:val="32"/>
          <w:highlight w:val="none"/>
          <w:shd w:val="clear" w:color="auto" w:fill="FFFFFF"/>
        </w:rPr>
      </w:pPr>
      <w:r>
        <w:rPr>
          <w:rFonts w:hint="eastAsia" w:ascii="宋体" w:hAnsi="宋体" w:eastAsia="仿宋_GB2312" w:cs="Times New Roman"/>
          <w:color w:val="000000"/>
          <w:sz w:val="32"/>
          <w:szCs w:val="32"/>
          <w:highlight w:val="none"/>
          <w:shd w:val="clear" w:color="auto" w:fill="FFFFFF"/>
        </w:rPr>
        <w:t>无。</w:t>
      </w:r>
    </w:p>
    <w:p w14:paraId="1ADC4CA8">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997" w:name="_Toc30839"/>
      <w:bookmarkStart w:id="998" w:name="_Toc7443"/>
      <w:r>
        <w:rPr>
          <w:rFonts w:hint="eastAsia" w:ascii="宋体" w:hAnsi="宋体" w:eastAsia="黑体" w:cs="Times New Roman"/>
          <w:color w:val="000000"/>
          <w:sz w:val="32"/>
          <w:szCs w:val="32"/>
          <w:highlight w:val="none"/>
        </w:rPr>
        <w:t>作为强制性标准或推荐性标准的建议及理由</w:t>
      </w:r>
      <w:bookmarkEnd w:id="997"/>
      <w:bookmarkEnd w:id="998"/>
    </w:p>
    <w:p w14:paraId="49998011">
      <w:pPr>
        <w:adjustRightInd w:val="0"/>
        <w:spacing w:line="560" w:lineRule="exact"/>
        <w:ind w:firstLine="640" w:firstLineChars="200"/>
        <w:rPr>
          <w:rFonts w:hint="eastAsia" w:ascii="宋体" w:hAnsi="宋体" w:eastAsia="仿宋_GB2312" w:cs="Times New Roman"/>
          <w:color w:val="000000"/>
          <w:sz w:val="32"/>
          <w:szCs w:val="32"/>
          <w:highlight w:val="none"/>
          <w:shd w:val="clear" w:color="auto" w:fill="FFFFFF"/>
          <w:lang w:eastAsia="zh-CN"/>
        </w:rPr>
      </w:pPr>
      <w:r>
        <w:rPr>
          <w:rFonts w:hint="eastAsia" w:ascii="宋体" w:hAnsi="宋体" w:eastAsia="仿宋_GB2312" w:cs="Times New Roman"/>
          <w:color w:val="000000"/>
          <w:sz w:val="32"/>
          <w:szCs w:val="32"/>
          <w:highlight w:val="none"/>
          <w:shd w:val="clear" w:color="auto" w:fill="FFFFFF"/>
        </w:rPr>
        <w:t>建议本文件为强制性标准。</w:t>
      </w:r>
    </w:p>
    <w:p w14:paraId="29DEE964">
      <w:pPr>
        <w:adjustRightInd w:val="0"/>
        <w:spacing w:line="560" w:lineRule="exact"/>
        <w:ind w:firstLine="640" w:firstLineChars="200"/>
        <w:rPr>
          <w:rFonts w:hint="eastAsia" w:ascii="宋体" w:hAnsi="宋体" w:eastAsia="仿宋_GB2312" w:cs="Times New Roman"/>
          <w:color w:val="000000"/>
          <w:sz w:val="32"/>
          <w:szCs w:val="32"/>
          <w:highlight w:val="none"/>
          <w:shd w:val="clear" w:color="auto" w:fill="FFFFFF"/>
        </w:rPr>
      </w:pPr>
      <w:r>
        <w:rPr>
          <w:rFonts w:hint="eastAsia" w:ascii="宋体" w:hAnsi="宋体" w:eastAsia="仿宋_GB2312" w:cs="Times New Roman"/>
          <w:color w:val="000000"/>
          <w:sz w:val="32"/>
          <w:szCs w:val="32"/>
          <w:highlight w:val="none"/>
          <w:shd w:val="clear" w:color="auto" w:fill="FFFFFF"/>
          <w:lang w:eastAsia="zh-CN"/>
        </w:rPr>
        <w:t>《</w:t>
      </w:r>
      <w:r>
        <w:rPr>
          <w:rFonts w:hint="eastAsia" w:ascii="宋体" w:hAnsi="宋体" w:eastAsia="仿宋_GB2312" w:cs="Times New Roman"/>
          <w:color w:val="000000"/>
          <w:sz w:val="32"/>
          <w:szCs w:val="32"/>
          <w:highlight w:val="none"/>
          <w:shd w:val="clear" w:color="auto" w:fill="FFFFFF"/>
        </w:rPr>
        <w:t>标准化法</w:t>
      </w:r>
      <w:r>
        <w:rPr>
          <w:rFonts w:hint="eastAsia" w:ascii="宋体" w:hAnsi="宋体" w:eastAsia="仿宋_GB2312" w:cs="Times New Roman"/>
          <w:color w:val="000000"/>
          <w:sz w:val="32"/>
          <w:szCs w:val="32"/>
          <w:highlight w:val="none"/>
          <w:shd w:val="clear" w:color="auto" w:fill="FFFFFF"/>
          <w:lang w:eastAsia="zh-CN"/>
        </w:rPr>
        <w:t>》</w:t>
      </w:r>
      <w:r>
        <w:rPr>
          <w:rFonts w:hint="eastAsia" w:ascii="宋体" w:hAnsi="宋体" w:eastAsia="仿宋_GB2312" w:cs="Times New Roman"/>
          <w:color w:val="000000"/>
          <w:sz w:val="32"/>
          <w:szCs w:val="32"/>
          <w:highlight w:val="none"/>
          <w:shd w:val="clear" w:color="auto" w:fill="FFFFFF"/>
        </w:rPr>
        <w:t>第十条规定：“对保障人身健康和生命财产安全、国家安全、生态环境安全以及满足经济社会管理基本需要的技术要求，应当制定强制性国家标准”。海洋石油天然气井下作业采用海上生产设施同步生产作业模式，其多源风险耦合特征显著加剧了井喷失控、有毒介质泄漏等安全隐患，对从业人员构成严重生命安全威胁。尽管该领域技术装备升级迭代加速，但应急管理部现行安全监管体系范畴仍存在标准规范滞后问题，突出表现为针对井下特种作业场景的专项安全技术规范尚未形成完整框架。</w:t>
      </w:r>
    </w:p>
    <w:p w14:paraId="5385B413">
      <w:pPr>
        <w:adjustRightInd w:val="0"/>
        <w:spacing w:line="560" w:lineRule="exact"/>
        <w:ind w:firstLine="640" w:firstLineChars="200"/>
        <w:rPr>
          <w:rFonts w:hint="eastAsia"/>
          <w:highlight w:val="none"/>
          <w:lang w:val="en-US" w:eastAsia="zh-CN"/>
        </w:rPr>
      </w:pPr>
      <w:r>
        <w:rPr>
          <w:rFonts w:hint="eastAsia" w:ascii="宋体" w:hAnsi="宋体" w:eastAsia="仿宋_GB2312" w:cs="Times New Roman"/>
          <w:color w:val="000000"/>
          <w:sz w:val="32"/>
          <w:szCs w:val="32"/>
          <w:highlight w:val="none"/>
          <w:shd w:val="clear" w:color="auto" w:fill="FFFFFF"/>
        </w:rPr>
        <w:t>因此，《海洋石油天然气井下作业安全规范》属于强制性标准的制定范围，该强制性标准的制定将可以加强海洋石油天然气井下作业相关单位规范安全生产条件，强化安全措施执行和安全应急管控，提高监管部门执法检查效力，更加适应新形势下行业发展需求。</w:t>
      </w:r>
    </w:p>
    <w:p w14:paraId="0126D58D">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999" w:name="_Toc25100"/>
      <w:bookmarkStart w:id="1000" w:name="_Toc164"/>
      <w:r>
        <w:rPr>
          <w:rFonts w:hint="eastAsia" w:ascii="宋体" w:hAnsi="宋体" w:eastAsia="黑体" w:cs="Times New Roman"/>
          <w:color w:val="000000"/>
          <w:sz w:val="32"/>
          <w:szCs w:val="32"/>
          <w:highlight w:val="none"/>
        </w:rPr>
        <w:t>标准自发布日期至实施日期的过渡期建议及理由</w:t>
      </w:r>
      <w:bookmarkEnd w:id="999"/>
      <w:bookmarkEnd w:id="1000"/>
    </w:p>
    <w:p w14:paraId="562EC37B">
      <w:pPr>
        <w:adjustRightInd w:val="0"/>
        <w:spacing w:line="560" w:lineRule="exact"/>
        <w:ind w:firstLine="640" w:firstLineChars="200"/>
        <w:rPr>
          <w:rFonts w:hint="eastAsia" w:ascii="宋体" w:hAnsi="宋体" w:eastAsia="仿宋_GB2312" w:cs="Times New Roman"/>
          <w:color w:val="000000"/>
          <w:sz w:val="32"/>
          <w:szCs w:val="32"/>
          <w:highlight w:val="none"/>
          <w:shd w:val="clear" w:color="auto" w:fill="FFFFFF"/>
        </w:rPr>
      </w:pPr>
      <w:r>
        <w:rPr>
          <w:rFonts w:hint="eastAsia" w:ascii="宋体" w:hAnsi="宋体" w:eastAsia="仿宋_GB2312" w:cs="Times New Roman"/>
          <w:color w:val="000000"/>
          <w:sz w:val="32"/>
          <w:szCs w:val="32"/>
          <w:highlight w:val="none"/>
          <w:shd w:val="clear" w:color="auto" w:fill="FFFFFF"/>
        </w:rPr>
        <w:t>建议实施过渡期为6个月。</w:t>
      </w:r>
    </w:p>
    <w:p w14:paraId="593A8972">
      <w:pPr>
        <w:adjustRightInd w:val="0"/>
        <w:spacing w:line="560" w:lineRule="exact"/>
        <w:ind w:firstLine="640" w:firstLineChars="200"/>
        <w:rPr>
          <w:rFonts w:ascii="宋体" w:hAnsi="宋体" w:eastAsia="仿宋_GB2312" w:cs="Times New Roman"/>
          <w:color w:val="000000"/>
          <w:sz w:val="32"/>
          <w:szCs w:val="32"/>
          <w:highlight w:val="none"/>
          <w:shd w:val="clear" w:color="auto" w:fill="FFFFFF"/>
        </w:rPr>
      </w:pPr>
      <w:r>
        <w:rPr>
          <w:rFonts w:hint="eastAsia" w:ascii="宋体" w:hAnsi="宋体" w:eastAsia="仿宋_GB2312" w:cs="Times New Roman"/>
          <w:color w:val="000000"/>
          <w:sz w:val="32"/>
          <w:szCs w:val="32"/>
          <w:highlight w:val="none"/>
          <w:shd w:val="clear" w:color="auto" w:fill="FFFFFF"/>
        </w:rPr>
        <w:t>本文件内容以井下作业安全管理和技术条款为主，涉及企业数量较多，发布后，需要从事海洋石油天然气井下作业的管理、技术和现场作业人员以及各级监管检查部门充分学习标准内容，并考虑整改不合格项的时间，必要时进行标准的宣贯，以便使本文件尽快落地实施。</w:t>
      </w:r>
    </w:p>
    <w:p w14:paraId="320A2E15">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1001" w:name="_Toc16397"/>
      <w:bookmarkStart w:id="1002" w:name="_Toc27763"/>
      <w:r>
        <w:rPr>
          <w:rFonts w:hint="eastAsia" w:ascii="宋体" w:hAnsi="宋体" w:eastAsia="黑体" w:cs="Times New Roman"/>
          <w:color w:val="000000"/>
          <w:sz w:val="32"/>
          <w:szCs w:val="32"/>
          <w:highlight w:val="none"/>
        </w:rPr>
        <w:t>与实施标准有关的政策措施</w:t>
      </w:r>
      <w:bookmarkEnd w:id="1001"/>
      <w:bookmarkEnd w:id="1002"/>
    </w:p>
    <w:p w14:paraId="5222A43E">
      <w:pPr>
        <w:tabs>
          <w:tab w:val="left" w:pos="1083"/>
        </w:tabs>
        <w:autoSpaceDE w:val="0"/>
        <w:autoSpaceDN w:val="0"/>
        <w:spacing w:line="560" w:lineRule="exact"/>
        <w:ind w:firstLine="612" w:firstLineChars="200"/>
        <w:jc w:val="left"/>
        <w:rPr>
          <w:rFonts w:ascii="仿宋_GB2312" w:hAnsi="仿宋_GB2312" w:eastAsia="仿宋_GB2312" w:cs="仿宋_GB2312"/>
          <w:spacing w:val="-7"/>
          <w:sz w:val="32"/>
          <w:szCs w:val="22"/>
        </w:rPr>
      </w:pPr>
      <w:bookmarkStart w:id="1003" w:name="_Toc8177"/>
      <w:r>
        <w:rPr>
          <w:rFonts w:hint="eastAsia" w:ascii="宋体" w:hAnsi="宋体" w:cs="宋体"/>
          <w:spacing w:val="-7"/>
          <w:sz w:val="32"/>
          <w:szCs w:val="22"/>
        </w:rPr>
        <w:t>1.</w:t>
      </w:r>
      <w:r>
        <w:rPr>
          <w:rFonts w:ascii="宋体" w:hAnsi="宋体" w:cs="宋体"/>
          <w:spacing w:val="-7"/>
          <w:sz w:val="32"/>
          <w:szCs w:val="22"/>
        </w:rPr>
        <w:t xml:space="preserve"> </w:t>
      </w:r>
      <w:r>
        <w:rPr>
          <w:rFonts w:hint="eastAsia" w:ascii="仿宋_GB2312" w:hAnsi="仿宋_GB2312" w:eastAsia="仿宋_GB2312" w:cs="仿宋_GB2312"/>
          <w:spacing w:val="-7"/>
          <w:sz w:val="32"/>
          <w:szCs w:val="22"/>
        </w:rPr>
        <w:t>组织措施：组织开展标准的宣贯培训以及邀请相关业内专家召开专题研讨会。</w:t>
      </w:r>
    </w:p>
    <w:p w14:paraId="63140129">
      <w:pPr>
        <w:tabs>
          <w:tab w:val="left" w:pos="1083"/>
        </w:tabs>
        <w:autoSpaceDE w:val="0"/>
        <w:autoSpaceDN w:val="0"/>
        <w:spacing w:line="560" w:lineRule="exact"/>
        <w:ind w:firstLine="612" w:firstLineChars="200"/>
        <w:jc w:val="left"/>
        <w:rPr>
          <w:rFonts w:ascii="仿宋_GB2312" w:hAnsi="仿宋_GB2312" w:eastAsia="仿宋_GB2312" w:cs="仿宋_GB2312"/>
          <w:spacing w:val="-7"/>
          <w:sz w:val="32"/>
          <w:szCs w:val="22"/>
        </w:rPr>
      </w:pPr>
      <w:r>
        <w:rPr>
          <w:rFonts w:hint="eastAsia" w:ascii="宋体" w:hAnsi="宋体" w:cs="宋体"/>
          <w:spacing w:val="-7"/>
          <w:sz w:val="32"/>
          <w:szCs w:val="22"/>
        </w:rPr>
        <w:t>2.</w:t>
      </w:r>
      <w:r>
        <w:rPr>
          <w:rFonts w:ascii="宋体" w:hAnsi="宋体" w:cs="宋体"/>
          <w:spacing w:val="-7"/>
          <w:sz w:val="32"/>
          <w:szCs w:val="22"/>
        </w:rPr>
        <w:t xml:space="preserve"> </w:t>
      </w:r>
      <w:r>
        <w:rPr>
          <w:rFonts w:hint="eastAsia" w:ascii="仿宋_GB2312" w:hAnsi="仿宋_GB2312" w:eastAsia="仿宋_GB2312" w:cs="仿宋_GB2312"/>
          <w:spacing w:val="-7"/>
          <w:sz w:val="32"/>
          <w:szCs w:val="22"/>
        </w:rPr>
        <w:t>技术措施：依托行业组织、业内专家，根据该标准要求，进一步落实</w:t>
      </w:r>
      <w:r>
        <w:rPr>
          <w:rFonts w:hint="eastAsia" w:ascii="仿宋_GB2312" w:hAnsi="仿宋_GB2312" w:eastAsia="仿宋_GB2312" w:cs="仿宋_GB2312"/>
          <w:spacing w:val="-7"/>
          <w:sz w:val="32"/>
          <w:szCs w:val="22"/>
          <w:lang w:eastAsia="zh-CN"/>
        </w:rPr>
        <w:t>海洋石油</w:t>
      </w:r>
      <w:r>
        <w:rPr>
          <w:rFonts w:hint="eastAsia" w:ascii="仿宋_GB2312" w:hAnsi="仿宋_GB2312" w:eastAsia="仿宋_GB2312" w:cs="仿宋_GB2312"/>
          <w:spacing w:val="-7"/>
          <w:sz w:val="32"/>
          <w:szCs w:val="22"/>
        </w:rPr>
        <w:t>天然气</w:t>
      </w:r>
      <w:r>
        <w:rPr>
          <w:rFonts w:hint="eastAsia" w:ascii="仿宋_GB2312" w:hAnsi="仿宋_GB2312" w:eastAsia="仿宋_GB2312" w:cs="仿宋_GB2312"/>
          <w:spacing w:val="-7"/>
          <w:sz w:val="32"/>
          <w:szCs w:val="22"/>
          <w:lang w:eastAsia="zh-CN"/>
        </w:rPr>
        <w:t>井下作业</w:t>
      </w:r>
      <w:r>
        <w:rPr>
          <w:rFonts w:hint="eastAsia" w:ascii="仿宋_GB2312" w:hAnsi="仿宋_GB2312" w:eastAsia="仿宋_GB2312" w:cs="仿宋_GB2312"/>
          <w:spacing w:val="-7"/>
          <w:sz w:val="32"/>
          <w:szCs w:val="22"/>
        </w:rPr>
        <w:t>行业标准化建设，尽快构建符合中国国情的</w:t>
      </w:r>
      <w:r>
        <w:rPr>
          <w:rFonts w:hint="eastAsia" w:ascii="仿宋_GB2312" w:hAnsi="仿宋_GB2312" w:eastAsia="仿宋_GB2312" w:cs="仿宋_GB2312"/>
          <w:spacing w:val="-7"/>
          <w:sz w:val="32"/>
          <w:szCs w:val="22"/>
          <w:lang w:eastAsia="zh-CN"/>
        </w:rPr>
        <w:t>海洋石油</w:t>
      </w:r>
      <w:r>
        <w:rPr>
          <w:rFonts w:hint="eastAsia" w:ascii="仿宋_GB2312" w:hAnsi="仿宋_GB2312" w:eastAsia="仿宋_GB2312" w:cs="仿宋_GB2312"/>
          <w:spacing w:val="-7"/>
          <w:sz w:val="32"/>
          <w:szCs w:val="22"/>
        </w:rPr>
        <w:t>天然气</w:t>
      </w:r>
      <w:r>
        <w:rPr>
          <w:rFonts w:hint="eastAsia" w:ascii="仿宋_GB2312" w:hAnsi="仿宋_GB2312" w:eastAsia="仿宋_GB2312" w:cs="仿宋_GB2312"/>
          <w:spacing w:val="-7"/>
          <w:sz w:val="32"/>
          <w:szCs w:val="22"/>
          <w:lang w:eastAsia="zh-CN"/>
        </w:rPr>
        <w:t>井下作业</w:t>
      </w:r>
      <w:r>
        <w:rPr>
          <w:rFonts w:hint="eastAsia" w:ascii="仿宋_GB2312" w:hAnsi="仿宋_GB2312" w:eastAsia="仿宋_GB2312" w:cs="仿宋_GB2312"/>
          <w:spacing w:val="-7"/>
          <w:sz w:val="32"/>
          <w:szCs w:val="22"/>
        </w:rPr>
        <w:t>行业安全管理标准化体系，有效提高安全管理水平。</w:t>
      </w:r>
    </w:p>
    <w:p w14:paraId="74995F21">
      <w:pPr>
        <w:tabs>
          <w:tab w:val="left" w:pos="1083"/>
        </w:tabs>
        <w:autoSpaceDE w:val="0"/>
        <w:autoSpaceDN w:val="0"/>
        <w:spacing w:line="560" w:lineRule="exact"/>
        <w:ind w:firstLine="612" w:firstLineChars="200"/>
        <w:jc w:val="left"/>
        <w:rPr>
          <w:rFonts w:hint="eastAsia" w:ascii="仿宋_GB2312" w:hAnsi="仿宋_GB2312" w:eastAsia="仿宋_GB2312" w:cs="仿宋_GB2312"/>
          <w:spacing w:val="-7"/>
          <w:sz w:val="32"/>
          <w:szCs w:val="22"/>
        </w:rPr>
      </w:pPr>
      <w:r>
        <w:rPr>
          <w:rFonts w:hint="eastAsia" w:ascii="宋体" w:hAnsi="宋体" w:cs="宋体"/>
          <w:spacing w:val="-7"/>
          <w:sz w:val="32"/>
          <w:szCs w:val="22"/>
        </w:rPr>
        <w:t>3.</w:t>
      </w:r>
      <w:r>
        <w:rPr>
          <w:rFonts w:ascii="宋体" w:hAnsi="宋体" w:cs="宋体"/>
          <w:spacing w:val="-7"/>
          <w:sz w:val="32"/>
          <w:szCs w:val="22"/>
        </w:rPr>
        <w:t xml:space="preserve"> </w:t>
      </w:r>
      <w:r>
        <w:rPr>
          <w:rFonts w:hint="eastAsia" w:ascii="仿宋_GB2312" w:hAnsi="仿宋_GB2312" w:eastAsia="仿宋_GB2312" w:cs="仿宋_GB2312"/>
          <w:spacing w:val="-7"/>
          <w:sz w:val="32"/>
          <w:szCs w:val="22"/>
        </w:rPr>
        <w:t>落地措施：积极推进企业主体责任的落实，督导相关企业积极落实</w:t>
      </w:r>
      <w:r>
        <w:rPr>
          <w:rFonts w:hint="eastAsia" w:ascii="仿宋_GB2312" w:hAnsi="仿宋_GB2312" w:eastAsia="仿宋_GB2312" w:cs="仿宋_GB2312"/>
          <w:spacing w:val="-7"/>
          <w:sz w:val="32"/>
          <w:szCs w:val="22"/>
          <w:lang w:eastAsia="zh-CN"/>
        </w:rPr>
        <w:t>本文件</w:t>
      </w:r>
      <w:r>
        <w:rPr>
          <w:rFonts w:hint="eastAsia" w:ascii="仿宋_GB2312" w:hAnsi="仿宋_GB2312" w:eastAsia="仿宋_GB2312" w:cs="仿宋_GB2312"/>
          <w:spacing w:val="-7"/>
          <w:sz w:val="32"/>
          <w:szCs w:val="22"/>
        </w:rPr>
        <w:t>相关要求。</w:t>
      </w:r>
    </w:p>
    <w:p w14:paraId="21F5015B">
      <w:pPr>
        <w:adjustRightInd w:val="0"/>
        <w:spacing w:line="560" w:lineRule="exact"/>
        <w:ind w:firstLine="640" w:firstLineChars="200"/>
        <w:rPr>
          <w:rFonts w:hint="eastAsia" w:ascii="宋体" w:hAnsi="宋体" w:eastAsia="仿宋_GB2312" w:cs="Times New Roman"/>
          <w:sz w:val="32"/>
          <w:szCs w:val="32"/>
          <w:highlight w:val="none"/>
          <w:shd w:val="clear" w:color="auto" w:fill="FFFFFF"/>
        </w:rPr>
      </w:pPr>
      <w:r>
        <w:rPr>
          <w:rFonts w:hint="eastAsia" w:ascii="宋体" w:hAnsi="宋体" w:eastAsia="仿宋_GB2312" w:cs="Times New Roman"/>
          <w:sz w:val="32"/>
          <w:szCs w:val="32"/>
          <w:highlight w:val="none"/>
          <w:shd w:val="clear" w:color="auto" w:fill="FFFFFF"/>
        </w:rPr>
        <w:t>本文件实施的监督管理部门为应急管理部海油安监办及其各分部。对违反强制性标准的行为，依据</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iCs/>
          <w:sz w:val="32"/>
          <w:szCs w:val="32"/>
          <w:highlight w:val="none"/>
          <w:lang w:eastAsia="zh-CN"/>
        </w:rPr>
        <w:t>中华人民共和国</w:t>
      </w:r>
      <w:r>
        <w:rPr>
          <w:rFonts w:hint="eastAsia" w:ascii="宋体" w:hAnsi="宋体" w:eastAsia="仿宋_GB2312" w:cs="Times New Roman"/>
          <w:sz w:val="32"/>
          <w:szCs w:val="32"/>
          <w:highlight w:val="none"/>
          <w:shd w:val="clear" w:color="auto" w:fill="FFFFFF"/>
        </w:rPr>
        <w:t>安全生产法</w:t>
      </w:r>
      <w:r>
        <w:rPr>
          <w:rFonts w:hint="eastAsia" w:ascii="宋体" w:hAnsi="宋体" w:eastAsia="仿宋_GB2312" w:cs="Times New Roman"/>
          <w:sz w:val="32"/>
          <w:szCs w:val="32"/>
          <w:highlight w:val="none"/>
          <w:shd w:val="clear" w:color="auto" w:fill="FFFFFF"/>
          <w:lang w:eastAsia="zh-CN"/>
        </w:rPr>
        <w:t>》</w:t>
      </w:r>
      <w:r>
        <w:rPr>
          <w:rFonts w:hint="eastAsia" w:ascii="宋体" w:hAnsi="宋体" w:eastAsia="仿宋_GB2312" w:cs="Times New Roman"/>
          <w:sz w:val="32"/>
          <w:szCs w:val="32"/>
          <w:highlight w:val="none"/>
          <w:shd w:val="clear" w:color="auto" w:fill="FFFFFF"/>
        </w:rPr>
        <w:t>等相关法律法规进行处理。</w:t>
      </w:r>
    </w:p>
    <w:p w14:paraId="63A3B5B5">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1004" w:name="_Toc11764"/>
      <w:r>
        <w:rPr>
          <w:rFonts w:hint="eastAsia" w:ascii="宋体" w:hAnsi="宋体" w:eastAsia="黑体" w:cs="Times New Roman"/>
          <w:color w:val="000000"/>
          <w:sz w:val="32"/>
          <w:szCs w:val="32"/>
          <w:highlight w:val="none"/>
        </w:rPr>
        <w:t>是否需要对外通报的建议及理由</w:t>
      </w:r>
      <w:bookmarkEnd w:id="1003"/>
      <w:bookmarkEnd w:id="1004"/>
    </w:p>
    <w:p w14:paraId="31F0638D">
      <w:pPr>
        <w:adjustRightInd w:val="0"/>
        <w:spacing w:line="560" w:lineRule="exact"/>
        <w:ind w:firstLine="640" w:firstLineChars="200"/>
        <w:rPr>
          <w:rFonts w:ascii="宋体" w:hAnsi="宋体" w:eastAsia="仿宋_GB2312" w:cs="Times New Roman"/>
          <w:color w:val="000000"/>
          <w:sz w:val="32"/>
          <w:szCs w:val="32"/>
          <w:highlight w:val="none"/>
        </w:rPr>
      </w:pPr>
      <w:r>
        <w:rPr>
          <w:rFonts w:hint="eastAsia" w:ascii="宋体" w:hAnsi="宋体" w:eastAsia="仿宋_GB2312" w:cs="Times New Roman"/>
          <w:sz w:val="32"/>
          <w:szCs w:val="32"/>
          <w:highlight w:val="none"/>
          <w:shd w:val="clear" w:color="auto" w:fill="FFFFFF"/>
        </w:rPr>
        <w:t>本文件旨在规范海洋石油天然气</w:t>
      </w:r>
      <w:r>
        <w:rPr>
          <w:rFonts w:hint="eastAsia" w:ascii="宋体" w:hAnsi="宋体" w:eastAsia="仿宋_GB2312" w:cs="Times New Roman"/>
          <w:sz w:val="32"/>
          <w:szCs w:val="32"/>
          <w:highlight w:val="none"/>
          <w:shd w:val="clear" w:color="auto" w:fill="FFFFFF"/>
          <w:lang w:eastAsia="zh-CN"/>
        </w:rPr>
        <w:t>井下作业</w:t>
      </w:r>
      <w:r>
        <w:rPr>
          <w:rFonts w:hint="eastAsia" w:ascii="宋体" w:hAnsi="宋体" w:eastAsia="仿宋_GB2312" w:cs="Times New Roman"/>
          <w:sz w:val="32"/>
          <w:szCs w:val="32"/>
          <w:highlight w:val="none"/>
          <w:shd w:val="clear" w:color="auto" w:fill="FFFFFF"/>
        </w:rPr>
        <w:t>安全管理要求，从防火防爆、消防与救逃生、防硫化氢防护、设计管理、</w:t>
      </w:r>
      <w:r>
        <w:rPr>
          <w:rFonts w:hint="eastAsia" w:ascii="宋体" w:hAnsi="宋体" w:eastAsia="仿宋_GB2312" w:cs="Times New Roman"/>
          <w:sz w:val="32"/>
          <w:szCs w:val="32"/>
          <w:highlight w:val="none"/>
          <w:shd w:val="clear" w:color="auto" w:fill="FFFFFF"/>
          <w:lang w:eastAsia="zh-CN"/>
        </w:rPr>
        <w:t>井下作业设施</w:t>
      </w:r>
      <w:r>
        <w:rPr>
          <w:rFonts w:hint="eastAsia" w:ascii="宋体" w:hAnsi="宋体" w:eastAsia="仿宋_GB2312" w:cs="Times New Roman"/>
          <w:sz w:val="32"/>
          <w:szCs w:val="32"/>
          <w:highlight w:val="none"/>
          <w:shd w:val="clear" w:color="auto" w:fill="FFFFFF"/>
        </w:rPr>
        <w:t>、施工作业活动、井控管理等方面的安全要求，均属于涉及企业生产经营活动范围的要求，无需对外通报。</w:t>
      </w:r>
    </w:p>
    <w:p w14:paraId="004A1F24">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1005" w:name="_Toc16704"/>
      <w:bookmarkStart w:id="1006" w:name="_Toc29723"/>
      <w:r>
        <w:rPr>
          <w:rFonts w:ascii="宋体" w:hAnsi="宋体" w:eastAsia="黑体" w:cs="Times New Roman"/>
          <w:color w:val="000000"/>
          <w:sz w:val="32"/>
          <w:szCs w:val="32"/>
          <w:highlight w:val="none"/>
        </w:rPr>
        <w:t>废止现行有关标准的建议</w:t>
      </w:r>
      <w:bookmarkEnd w:id="1005"/>
      <w:bookmarkEnd w:id="1006"/>
    </w:p>
    <w:p w14:paraId="04CDAF07">
      <w:pPr>
        <w:adjustRightInd w:val="0"/>
        <w:spacing w:line="560" w:lineRule="exact"/>
        <w:ind w:firstLine="640" w:firstLineChars="200"/>
        <w:rPr>
          <w:rFonts w:ascii="宋体" w:hAnsi="宋体" w:eastAsia="仿宋_GB2312" w:cs="Times New Roman"/>
          <w:i/>
          <w:iCs/>
          <w:color w:val="000000"/>
          <w:sz w:val="32"/>
          <w:szCs w:val="32"/>
          <w:highlight w:val="none"/>
        </w:rPr>
      </w:pPr>
      <w:r>
        <w:rPr>
          <w:rFonts w:hint="eastAsia" w:ascii="宋体" w:hAnsi="宋体" w:eastAsia="仿宋_GB2312" w:cs="Times New Roman"/>
          <w:color w:val="000000"/>
          <w:sz w:val="32"/>
          <w:szCs w:val="32"/>
          <w:highlight w:val="none"/>
        </w:rPr>
        <w:t>无。</w:t>
      </w:r>
    </w:p>
    <w:p w14:paraId="6FF813C7">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1007" w:name="_Toc21025"/>
      <w:bookmarkStart w:id="1008" w:name="_Toc29067"/>
      <w:r>
        <w:rPr>
          <w:rFonts w:hint="eastAsia" w:ascii="宋体" w:hAnsi="宋体" w:eastAsia="黑体" w:cs="Times New Roman"/>
          <w:color w:val="000000"/>
          <w:sz w:val="32"/>
          <w:szCs w:val="32"/>
          <w:highlight w:val="none"/>
        </w:rPr>
        <w:t>涉及专利的有关说明</w:t>
      </w:r>
      <w:bookmarkEnd w:id="1007"/>
      <w:bookmarkEnd w:id="1008"/>
    </w:p>
    <w:p w14:paraId="2518D616">
      <w:pPr>
        <w:adjustRightInd w:val="0"/>
        <w:spacing w:line="560" w:lineRule="exact"/>
        <w:ind w:firstLine="640" w:firstLineChars="200"/>
        <w:rPr>
          <w:rFonts w:ascii="宋体" w:hAnsi="宋体" w:eastAsia="仿宋_GB2312" w:cs="Times New Roman"/>
          <w:color w:val="000000"/>
          <w:sz w:val="32"/>
          <w:szCs w:val="32"/>
          <w:highlight w:val="none"/>
        </w:rPr>
      </w:pPr>
      <w:r>
        <w:rPr>
          <w:rFonts w:hint="eastAsia" w:ascii="宋体" w:hAnsi="宋体" w:eastAsia="仿宋_GB2312" w:cs="Times New Roman"/>
          <w:color w:val="000000"/>
          <w:sz w:val="32"/>
          <w:szCs w:val="32"/>
          <w:highlight w:val="none"/>
          <w:lang w:eastAsia="zh-CN"/>
        </w:rPr>
        <w:t>无</w:t>
      </w:r>
      <w:r>
        <w:rPr>
          <w:rFonts w:hint="eastAsia" w:ascii="宋体" w:hAnsi="宋体" w:eastAsia="仿宋_GB2312" w:cs="Times New Roman"/>
          <w:color w:val="000000"/>
          <w:sz w:val="32"/>
          <w:szCs w:val="32"/>
          <w:highlight w:val="none"/>
        </w:rPr>
        <w:t>。</w:t>
      </w:r>
    </w:p>
    <w:p w14:paraId="42EF4EE6">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1009" w:name="_Toc2209"/>
      <w:bookmarkStart w:id="1010" w:name="_Toc19238"/>
      <w:r>
        <w:rPr>
          <w:rFonts w:hint="eastAsia" w:ascii="宋体" w:hAnsi="宋体" w:eastAsia="黑体" w:cs="Times New Roman"/>
          <w:color w:val="000000"/>
          <w:sz w:val="32"/>
          <w:szCs w:val="32"/>
          <w:highlight w:val="none"/>
        </w:rPr>
        <w:t>标准所涉及的产品、过程或者服务目录</w:t>
      </w:r>
      <w:bookmarkEnd w:id="1009"/>
      <w:bookmarkEnd w:id="1010"/>
    </w:p>
    <w:p w14:paraId="0FAF93FA">
      <w:pPr>
        <w:adjustRightInd w:val="0"/>
        <w:spacing w:line="560" w:lineRule="exact"/>
        <w:ind w:firstLine="640" w:firstLineChars="200"/>
        <w:rPr>
          <w:rFonts w:ascii="宋体" w:hAnsi="宋体" w:eastAsia="仿宋_GB2312" w:cs="Times New Roman"/>
          <w:color w:val="000000"/>
          <w:sz w:val="32"/>
          <w:szCs w:val="32"/>
          <w:highlight w:val="none"/>
        </w:rPr>
      </w:pPr>
      <w:r>
        <w:rPr>
          <w:rFonts w:hint="eastAsia" w:ascii="宋体" w:hAnsi="宋体" w:eastAsia="仿宋_GB2312" w:cs="Times New Roman"/>
          <w:sz w:val="32"/>
          <w:szCs w:val="32"/>
          <w:highlight w:val="none"/>
          <w:lang w:eastAsia="zh-CN"/>
        </w:rPr>
        <w:t>无</w:t>
      </w:r>
      <w:r>
        <w:rPr>
          <w:rFonts w:hint="eastAsia" w:ascii="宋体" w:hAnsi="宋体" w:eastAsia="仿宋_GB2312" w:cs="Times New Roman"/>
          <w:color w:val="000000"/>
          <w:sz w:val="32"/>
          <w:szCs w:val="32"/>
          <w:highlight w:val="none"/>
        </w:rPr>
        <w:t>。</w:t>
      </w:r>
    </w:p>
    <w:p w14:paraId="17C9B0BE">
      <w:pPr>
        <w:widowControl/>
        <w:numPr>
          <w:ilvl w:val="0"/>
          <w:numId w:val="43"/>
        </w:numPr>
        <w:spacing w:line="560" w:lineRule="exact"/>
        <w:ind w:firstLine="640" w:firstLineChars="200"/>
        <w:outlineLvl w:val="0"/>
        <w:rPr>
          <w:rFonts w:ascii="宋体" w:hAnsi="宋体" w:eastAsia="黑体" w:cs="Times New Roman"/>
          <w:color w:val="000000"/>
          <w:sz w:val="32"/>
          <w:szCs w:val="32"/>
          <w:highlight w:val="none"/>
        </w:rPr>
      </w:pPr>
      <w:bookmarkStart w:id="1011" w:name="_Toc3426"/>
      <w:bookmarkStart w:id="1012" w:name="_Toc18818"/>
      <w:r>
        <w:rPr>
          <w:rFonts w:hint="eastAsia" w:ascii="宋体" w:hAnsi="宋体" w:eastAsia="黑体" w:cs="Times New Roman"/>
          <w:color w:val="000000"/>
          <w:sz w:val="32"/>
          <w:szCs w:val="32"/>
          <w:highlight w:val="none"/>
        </w:rPr>
        <w:t>其他</w:t>
      </w:r>
      <w:r>
        <w:rPr>
          <w:rFonts w:ascii="宋体" w:hAnsi="宋体" w:eastAsia="黑体" w:cs="Times New Roman"/>
          <w:color w:val="000000"/>
          <w:sz w:val="32"/>
          <w:szCs w:val="32"/>
          <w:highlight w:val="none"/>
        </w:rPr>
        <w:t>应予以说明的事项</w:t>
      </w:r>
      <w:bookmarkEnd w:id="1011"/>
      <w:bookmarkEnd w:id="1012"/>
    </w:p>
    <w:p w14:paraId="0406C648">
      <w:pPr>
        <w:ind w:firstLine="640" w:firstLineChars="200"/>
      </w:pPr>
      <w:r>
        <w:rPr>
          <w:rFonts w:hint="eastAsia" w:ascii="宋体" w:hAnsi="宋体" w:eastAsia="仿宋_GB2312" w:cs="Times New Roman"/>
          <w:color w:val="000000"/>
          <w:sz w:val="32"/>
          <w:szCs w:val="32"/>
          <w:highlight w:val="none"/>
          <w:lang w:eastAsia="zh-CN"/>
        </w:rPr>
        <w:t>无</w:t>
      </w:r>
      <w:r>
        <w:rPr>
          <w:rFonts w:hint="eastAsia" w:ascii="宋体" w:hAnsi="宋体" w:eastAsia="仿宋_GB2312" w:cs="Times New Roman"/>
          <w:color w:val="000000"/>
          <w:sz w:val="32"/>
          <w:szCs w:val="32"/>
          <w:highlight w:val="none"/>
        </w:rPr>
        <w:t>。</w:t>
      </w:r>
    </w:p>
    <w:p w14:paraId="78A2A601">
      <w:pPr>
        <w:pStyle w:val="2"/>
        <w:rPr>
          <w:rFonts w:hint="eastAsia"/>
          <w:lang w:val="en-US" w:eastAsia="zh-CN"/>
        </w:rPr>
      </w:pPr>
    </w:p>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2"/>
    <w:family w:val="auto"/>
    <w:pitch w:val="default"/>
    <w:sig w:usb0="00000000" w:usb1="00000000"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Light">
    <w:altName w:val="原版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思源宋体">
    <w:panose1 w:val="02020400000000000000"/>
    <w:charset w:val="86"/>
    <w:family w:val="auto"/>
    <w:pitch w:val="default"/>
    <w:sig w:usb0="3000008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3C370">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4CA66">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DFFC0">
    <w:pPr>
      <w:pStyle w:val="56"/>
    </w:pPr>
    <w:r>
      <w:fldChar w:fldCharType="begin"/>
    </w:r>
    <w:r>
      <w:instrText xml:space="preserve">PAGE   \* MERGEFORMAT</w:instrText>
    </w:r>
    <w:r>
      <w:fldChar w:fldCharType="separate"/>
    </w:r>
    <w:r>
      <w:rPr>
        <w:lang w:val="zh-CN"/>
      </w:rP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9AC0D">
    <w:pPr>
      <w:pStyle w:val="5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E68C53">
                          <w:pPr>
                            <w:pStyle w:val="56"/>
                          </w:pPr>
                          <w:r>
                            <w:fldChar w:fldCharType="begin"/>
                          </w:r>
                          <w:r>
                            <w:instrText xml:space="preserve">PAGE   \* MERGEFORMAT</w:instrText>
                          </w:r>
                          <w:r>
                            <w:fldChar w:fldCharType="separate"/>
                          </w:r>
                          <w:r>
                            <w:rPr>
                              <w:lang w:val="zh-CN"/>
                            </w:rP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8E68C53">
                    <w:pPr>
                      <w:pStyle w:val="56"/>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62D9E">
    <w:pPr>
      <w:pStyle w:val="18"/>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6350</wp:posOffset>
              </wp:positionV>
              <wp:extent cx="1828800" cy="1397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AA1D1">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5pt;height:11pt;width:144pt;mso-position-horizontal:outside;mso-position-horizontal-relative:margin;mso-wrap-style:none;z-index:251663360;mso-width-relative:page;mso-height-relative:page;" filled="f" stroked="f" coordsize="21600,21600" o:gfxdata="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DvK27dQAAAAFAQAADwAAAAAAAAABACAAAAAiAAAAZHJzL2Rvd25yZXYueG1s&#10;UEsBAhQAFAAAAAgAh07iQOBqYAs1AgAAYgQAAA4AAAAAAAAAAQAgAAAAIwEAAGRycy9lMm9Eb2Mu&#10;eG1sUEsFBgAAAAAGAAYAWQEAAMoFAAAAAA==&#10;">
              <v:fill on="f" focussize="0,0"/>
              <v:stroke on="f" weight="0.5pt"/>
              <v:imagedata o:title=""/>
              <o:lock v:ext="edit" aspectratio="f"/>
              <v:textbox inset="0mm,0mm,0mm,0mm">
                <w:txbxContent>
                  <w:p w14:paraId="3ACAA1D1">
                    <w:pPr>
                      <w:pStyle w:val="18"/>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F7441">
                          <w:pPr>
                            <w:pStyle w:val="1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AF7441">
                    <w:pPr>
                      <w:pStyle w:val="18"/>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1CA7">
    <w:pPr>
      <w:pStyle w:val="236"/>
      <w:tabs>
        <w:tab w:val="left" w:pos="1403"/>
      </w:tabs>
      <w:spacing w:before="0"/>
      <w:jc w:val="right"/>
      <w:rPr>
        <w:rStyle w:val="237"/>
        <w:rFonts w:hint="default" w:ascii="宋体" w:hAnsi="宋体" w:eastAsia="宋体" w:cs="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6350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E04E0">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5pt;height:144pt;width:144pt;mso-position-horizontal:outside;mso-position-horizontal-relative:margin;mso-wrap-style:none;z-index:251664384;mso-width-relative:page;mso-height-relative:page;" filled="f" stroked="f" coordsize="21600,21600" o:gfxdata="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RSP/NEAAAAGAQAADwAAAAAAAAABACAAAAAiAAAAZHJzL2Rvd25yZXYueG1sUEsBAhQA&#10;FAAAAAgAh07iQP9bQWsyAgAAYwQAAA4AAAAAAAAAAQAgAAAAIAEAAGRycy9lMm9Eb2MueG1sUEsF&#10;BgAAAAAGAAYAWQEAAMQFAAAAAA==&#10;">
              <v:fill on="f" focussize="0,0"/>
              <v:stroke on="f" weight="0.5pt"/>
              <v:imagedata o:title=""/>
              <o:lock v:ext="edit" aspectratio="f"/>
              <v:textbox inset="0mm,0mm,0mm,0mm" style="mso-fit-shape-to-text:t;">
                <w:txbxContent>
                  <w:p w14:paraId="41BE04E0">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3B85B">
    <w:pPr>
      <w:pStyle w:val="18"/>
      <w:jc w:val="left"/>
      <w:rPr>
        <w:rFonts w:ascii="宋体" w:hAnsi="宋体" w:eastAsia="宋体" w:cs="宋体"/>
      </w:rPr>
    </w:pPr>
    <w:r>
      <w:rPr>
        <w:rFonts w:hint="eastAsia" w:ascii="宋体" w:hAnsi="宋体" w:eastAsia="宋体" w:cs="宋体"/>
      </w:rPr>
      <w:t>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D31D3">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0D86A">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A979A">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BAE72">
    <w:pPr>
      <w:tabs>
        <w:tab w:val="left" w:pos="786"/>
      </w:tabs>
      <w:jc w:val="right"/>
      <w:rPr>
        <w:rFonts w:hint="eastAsia"/>
      </w:rPr>
    </w:pPr>
    <w:r>
      <w:rPr>
        <w:rFonts w:hint="eastAsia" w:ascii="黑体" w:hAnsi="黑体" w:eastAsia="黑体"/>
        <w:sz w:val="21"/>
        <w:szCs w:val="21"/>
        <w:lang w:val="en-US" w:eastAsia="zh-CN"/>
      </w:rPr>
      <w:t>AQ</w:t>
    </w:r>
    <w:r>
      <w:rPr>
        <w:rFonts w:ascii="黑体" w:hAnsi="黑体" w:eastAsia="黑体"/>
        <w:sz w:val="21"/>
        <w:szCs w:val="21"/>
      </w:rPr>
      <w:t xml:space="preserve"> ****</w:t>
    </w:r>
    <w:r>
      <w:rPr>
        <w:rFonts w:hint="eastAsia" w:ascii="黑体" w:hAnsi="黑体" w:eastAsia="黑体"/>
        <w:sz w:val="21"/>
        <w:szCs w:val="21"/>
        <w:lang w:val="en-US" w:eastAsia="zh-CN"/>
      </w:rPr>
      <w:t>-</w:t>
    </w:r>
    <w:r>
      <w:rPr>
        <w:rFonts w:hint="eastAsia" w:ascii="黑体" w:hAnsi="黑体" w:eastAsia="黑体"/>
        <w:sz w:val="21"/>
        <w:szCs w:val="21"/>
      </w:rPr>
      <w:t>202</w:t>
    </w:r>
    <w:r>
      <w:rPr>
        <w:rFonts w:hint="eastAsia" w:ascii="黑体" w:hAnsi="黑体" w:eastAsia="黑体"/>
        <w:sz w:val="21"/>
        <w:szCs w:val="21"/>
        <w:lang w:val="en-US" w:eastAsia="zh-CN"/>
      </w:rP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BE69B">
    <w:pPr>
      <w:pStyle w:val="19"/>
      <w:jc w:val="right"/>
    </w:pPr>
    <w:r>
      <w:fldChar w:fldCharType="begin"/>
    </w:r>
    <w:r>
      <w:instrText xml:space="preserve"> STYLEREF  标准文件_文件编号  \* MERGEFORMAT </w:instrText>
    </w:r>
    <w:r>
      <w:fldChar w:fldCharType="separate"/>
    </w:r>
    <w:r>
      <w:t>AQ XXXXX—XXXX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31BE2">
    <w:pPr>
      <w:tabs>
        <w:tab w:val="left" w:pos="786"/>
      </w:tabs>
      <w:jc w:val="right"/>
    </w:pPr>
    <w:r>
      <w:rPr>
        <w:rFonts w:hint="eastAsia" w:ascii="黑体" w:hAnsi="黑体" w:eastAsia="黑体"/>
        <w:sz w:val="21"/>
        <w:szCs w:val="21"/>
        <w:lang w:val="en-US" w:eastAsia="zh-CN"/>
      </w:rPr>
      <w:t>AQ</w:t>
    </w:r>
    <w:r>
      <w:rPr>
        <w:rFonts w:ascii="黑体" w:hAnsi="黑体" w:eastAsia="黑体"/>
        <w:sz w:val="21"/>
        <w:szCs w:val="21"/>
      </w:rPr>
      <w:t xml:space="preserve"> ****</w:t>
    </w:r>
    <w:r>
      <w:rPr>
        <w:rFonts w:hint="eastAsia" w:ascii="黑体" w:hAnsi="黑体" w:eastAsia="黑体"/>
        <w:sz w:val="21"/>
        <w:szCs w:val="21"/>
        <w:lang w:val="en-US" w:eastAsia="zh-CN"/>
      </w:rPr>
      <w:t>-</w:t>
    </w:r>
    <w:r>
      <w:rPr>
        <w:rFonts w:hint="eastAsia" w:ascii="黑体" w:hAnsi="黑体" w:eastAsia="黑体"/>
        <w:sz w:val="21"/>
        <w:szCs w:val="21"/>
      </w:rPr>
      <w:t>202</w:t>
    </w:r>
    <w:r>
      <w:rPr>
        <w:rFonts w:hint="eastAsia" w:ascii="黑体" w:hAnsi="黑体" w:eastAsia="黑体"/>
        <w:sz w:val="21"/>
        <w:szCs w:val="21"/>
        <w:lang w:val="en-US" w:eastAsia="zh-CN"/>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A3C44">
    <w:pPr>
      <w:tabs>
        <w:tab w:val="left" w:pos="786"/>
      </w:tabs>
      <w:jc w:val="right"/>
      <w:rPr>
        <w:rFonts w:ascii="黑体" w:hAnsi="黑体" w:eastAsia="黑体" w:cs="黑体"/>
      </w:rPr>
    </w:pPr>
    <w:r>
      <w:rPr>
        <w:rFonts w:hint="eastAsia" w:ascii="黑体" w:hAnsi="黑体" w:eastAsia="黑体"/>
        <w:sz w:val="21"/>
        <w:szCs w:val="21"/>
        <w:lang w:val="en-US" w:eastAsia="zh-CN"/>
      </w:rPr>
      <w:t>AQ</w:t>
    </w:r>
    <w:r>
      <w:rPr>
        <w:rFonts w:ascii="黑体" w:hAnsi="黑体" w:eastAsia="黑体"/>
        <w:sz w:val="21"/>
        <w:szCs w:val="21"/>
      </w:rPr>
      <w:t xml:space="preserve"> ****</w:t>
    </w:r>
    <w:r>
      <w:rPr>
        <w:rFonts w:hint="eastAsia" w:ascii="黑体" w:hAnsi="黑体" w:eastAsia="黑体"/>
        <w:sz w:val="21"/>
        <w:szCs w:val="21"/>
        <w:lang w:val="en-US" w:eastAsia="zh-CN"/>
      </w:rPr>
      <w:t>-</w:t>
    </w:r>
    <w:r>
      <w:rPr>
        <w:rFonts w:hint="eastAsia" w:ascii="黑体" w:hAnsi="黑体" w:eastAsia="黑体"/>
        <w:sz w:val="21"/>
        <w:szCs w:val="21"/>
      </w:rPr>
      <w:t>202</w:t>
    </w:r>
    <w:r>
      <w:rPr>
        <w:rFonts w:hint="eastAsia" w:ascii="黑体" w:hAnsi="黑体" w:eastAsia="黑体"/>
        <w:sz w:val="21"/>
        <w:szCs w:val="21"/>
        <w:lang w:val="en-US" w:eastAsia="zh-CN"/>
      </w:rPr>
      <w: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DB2F5">
    <w:pPr>
      <w:pStyle w:val="19"/>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0AA6B">
    <w:pPr>
      <w:tabs>
        <w:tab w:val="left" w:pos="786"/>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339FD9"/>
    <w:multiLevelType w:val="multilevel"/>
    <w:tmpl w:val="C1339FD9"/>
    <w:lvl w:ilvl="0" w:tentative="0">
      <w:start w:val="1"/>
      <w:numFmt w:val="lowerLetter"/>
      <w:lvlText w:val="%1)"/>
      <w:lvlJc w:val="left"/>
      <w:pPr>
        <w:tabs>
          <w:tab w:val="left" w:pos="851"/>
        </w:tabs>
        <w:ind w:left="851" w:hanging="426"/>
      </w:pPr>
      <w:rPr>
        <w:rFonts w:hint="default" w:ascii="宋体" w:hAnsi="宋体" w:eastAsia="宋体" w:cs="Times New Roman"/>
        <w:b w:val="0"/>
        <w:bCs/>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DA923488"/>
    <w:multiLevelType w:val="multilevel"/>
    <w:tmpl w:val="DA923488"/>
    <w:lvl w:ilvl="0" w:tentative="0">
      <w:start w:val="1"/>
      <w:numFmt w:val="lowerLetter"/>
      <w:lvlText w:val="%1)"/>
      <w:lvlJc w:val="left"/>
      <w:pPr>
        <w:tabs>
          <w:tab w:val="left" w:pos="851"/>
        </w:tabs>
        <w:ind w:left="851" w:hanging="426"/>
      </w:pPr>
      <w:rPr>
        <w:rFonts w:hint="default" w:ascii="宋体" w:hAnsi="宋体" w:eastAsia="宋体" w:cs="Times New Roman"/>
        <w:b w:val="0"/>
        <w:bCs/>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EFEE6F9B"/>
    <w:multiLevelType w:val="singleLevel"/>
    <w:tmpl w:val="EFEE6F9B"/>
    <w:lvl w:ilvl="0" w:tentative="0">
      <w:start w:val="2"/>
      <w:numFmt w:val="chineseCounting"/>
      <w:suff w:val="nothing"/>
      <w:lvlText w:val="%1、"/>
      <w:lvlJc w:val="left"/>
      <w:rPr>
        <w:rFonts w:hint="eastAsia"/>
      </w:rPr>
    </w:lvl>
  </w:abstractNum>
  <w:abstractNum w:abstractNumId="3">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4">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08990813"/>
    <w:multiLevelType w:val="singleLevel"/>
    <w:tmpl w:val="08990813"/>
    <w:lvl w:ilvl="0" w:tentative="0">
      <w:start w:val="1"/>
      <w:numFmt w:val="decimal"/>
      <w:lvlText w:val="（%1）"/>
      <w:lvlJc w:val="left"/>
      <w:pPr>
        <w:tabs>
          <w:tab w:val="left" w:pos="397"/>
        </w:tabs>
        <w:ind w:left="454" w:leftChars="0" w:hanging="454" w:firstLineChars="0"/>
      </w:pPr>
      <w:rPr>
        <w:rFonts w:hint="default"/>
      </w:rPr>
    </w:lvl>
  </w:abstractNum>
  <w:abstractNum w:abstractNumId="8">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9">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1">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4">
    <w:nsid w:val="267DA046"/>
    <w:multiLevelType w:val="singleLevel"/>
    <w:tmpl w:val="267DA046"/>
    <w:lvl w:ilvl="0" w:tentative="0">
      <w:start w:val="1"/>
      <w:numFmt w:val="decimal"/>
      <w:lvlText w:val="（%1）"/>
      <w:lvlJc w:val="left"/>
      <w:pPr>
        <w:tabs>
          <w:tab w:val="left" w:pos="397"/>
        </w:tabs>
        <w:ind w:left="454" w:leftChars="0" w:hanging="454" w:firstLineChars="0"/>
      </w:pPr>
      <w:rPr>
        <w:rFonts w:hint="default"/>
      </w:rPr>
    </w:lvl>
  </w:abstractNum>
  <w:abstractNum w:abstractNumId="15">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6">
    <w:nsid w:val="32556B1F"/>
    <w:multiLevelType w:val="multilevel"/>
    <w:tmpl w:val="32556B1F"/>
    <w:lvl w:ilvl="0" w:tentative="0">
      <w:start w:val="1"/>
      <w:numFmt w:val="lowerLetter"/>
      <w:lvlText w:val="%1)"/>
      <w:lvlJc w:val="left"/>
      <w:pPr>
        <w:tabs>
          <w:tab w:val="left" w:pos="851"/>
        </w:tabs>
        <w:ind w:left="851" w:hanging="426"/>
      </w:pPr>
      <w:rPr>
        <w:rFonts w:hint="default" w:ascii="宋体" w:hAnsi="宋体" w:eastAsia="宋体" w:cs="Times New Roman"/>
        <w:b w:val="0"/>
        <w:bCs/>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8">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color w:val="auto"/>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4691E80F"/>
    <w:multiLevelType w:val="multilevel"/>
    <w:tmpl w:val="4691E80F"/>
    <w:lvl w:ilvl="0" w:tentative="0">
      <w:start w:val="1"/>
      <w:numFmt w:val="lowerLetter"/>
      <w:lvlText w:val="%1)"/>
      <w:lvlJc w:val="left"/>
      <w:pPr>
        <w:tabs>
          <w:tab w:val="left" w:pos="851"/>
        </w:tabs>
        <w:ind w:left="851" w:hanging="426"/>
      </w:pPr>
      <w:rPr>
        <w:rFonts w:hint="default" w:ascii="宋体" w:hAnsi="宋体" w:eastAsia="宋体" w:cs="Times New Roman"/>
        <w:b w:val="0"/>
        <w:bCs/>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0">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1">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2">
    <w:nsid w:val="4E1FBEB7"/>
    <w:multiLevelType w:val="multilevel"/>
    <w:tmpl w:val="4E1FBEB7"/>
    <w:lvl w:ilvl="0" w:tentative="0">
      <w:start w:val="1"/>
      <w:numFmt w:val="lowerLetter"/>
      <w:lvlText w:val="%1)"/>
      <w:lvlJc w:val="left"/>
      <w:pPr>
        <w:tabs>
          <w:tab w:val="left" w:pos="851"/>
        </w:tabs>
        <w:ind w:left="851" w:hanging="426"/>
      </w:pPr>
      <w:rPr>
        <w:rFonts w:hint="default" w:ascii="宋体" w:hAnsi="宋体" w:eastAsia="宋体" w:cs="Times New Roman"/>
        <w:b w:val="0"/>
        <w:bCs/>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3">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5">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B23970B"/>
    <w:multiLevelType w:val="singleLevel"/>
    <w:tmpl w:val="5B23970B"/>
    <w:lvl w:ilvl="0" w:tentative="0">
      <w:start w:val="1"/>
      <w:numFmt w:val="decimal"/>
      <w:lvlText w:val="%1."/>
      <w:lvlJc w:val="left"/>
      <w:pPr>
        <w:ind w:left="425" w:hanging="425"/>
      </w:pPr>
      <w:rPr>
        <w:rFonts w:hint="default"/>
      </w:rPr>
    </w:lvl>
  </w:abstractNum>
  <w:abstractNum w:abstractNumId="29">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0">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1">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2">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71F11B1"/>
    <w:multiLevelType w:val="singleLevel"/>
    <w:tmpl w:val="671F11B1"/>
    <w:lvl w:ilvl="0" w:tentative="0">
      <w:start w:val="4"/>
      <w:numFmt w:val="chineseCounting"/>
      <w:suff w:val="nothing"/>
      <w:lvlText w:val="%1、"/>
      <w:lvlJc w:val="left"/>
      <w:rPr>
        <w:rFonts w:hint="eastAsia"/>
      </w:rPr>
    </w:lvl>
  </w:abstractNum>
  <w:abstractNum w:abstractNumId="3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5">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8">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9">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797B9368"/>
    <w:multiLevelType w:val="singleLevel"/>
    <w:tmpl w:val="797B9368"/>
    <w:lvl w:ilvl="0" w:tentative="0">
      <w:start w:val="1"/>
      <w:numFmt w:val="lowerLetter"/>
      <w:lvlText w:val="%1."/>
      <w:lvlJc w:val="left"/>
      <w:pPr>
        <w:ind w:left="425" w:hanging="425"/>
      </w:pPr>
      <w:rPr>
        <w:rFonts w:hint="default"/>
      </w:rPr>
    </w:lvl>
  </w:abstractNum>
  <w:num w:numId="1">
    <w:abstractNumId w:val="3"/>
  </w:num>
  <w:num w:numId="2">
    <w:abstractNumId w:val="37"/>
  </w:num>
  <w:num w:numId="3">
    <w:abstractNumId w:val="9"/>
  </w:num>
  <w:num w:numId="4">
    <w:abstractNumId w:val="32"/>
  </w:num>
  <w:num w:numId="5">
    <w:abstractNumId w:val="26"/>
  </w:num>
  <w:num w:numId="6">
    <w:abstractNumId w:val="20"/>
  </w:num>
  <w:num w:numId="7">
    <w:abstractNumId w:val="12"/>
  </w:num>
  <w:num w:numId="8">
    <w:abstractNumId w:val="6"/>
  </w:num>
  <w:num w:numId="9">
    <w:abstractNumId w:val="13"/>
  </w:num>
  <w:num w:numId="10">
    <w:abstractNumId w:val="24"/>
  </w:num>
  <w:num w:numId="11">
    <w:abstractNumId w:val="35"/>
  </w:num>
  <w:num w:numId="12">
    <w:abstractNumId w:val="17"/>
  </w:num>
  <w:num w:numId="13">
    <w:abstractNumId w:val="18"/>
  </w:num>
  <w:num w:numId="14">
    <w:abstractNumId w:val="11"/>
  </w:num>
  <w:num w:numId="15">
    <w:abstractNumId w:val="27"/>
  </w:num>
  <w:num w:numId="16">
    <w:abstractNumId w:val="30"/>
  </w:num>
  <w:num w:numId="17">
    <w:abstractNumId w:val="25"/>
  </w:num>
  <w:num w:numId="18">
    <w:abstractNumId w:val="39"/>
  </w:num>
  <w:num w:numId="19">
    <w:abstractNumId w:val="23"/>
  </w:num>
  <w:num w:numId="20">
    <w:abstractNumId w:val="4"/>
  </w:num>
  <w:num w:numId="21">
    <w:abstractNumId w:val="15"/>
  </w:num>
  <w:num w:numId="22">
    <w:abstractNumId w:val="40"/>
  </w:num>
  <w:num w:numId="23">
    <w:abstractNumId w:val="29"/>
  </w:num>
  <w:num w:numId="24">
    <w:abstractNumId w:val="10"/>
  </w:num>
  <w:num w:numId="25">
    <w:abstractNumId w:val="36"/>
  </w:num>
  <w:num w:numId="26">
    <w:abstractNumId w:val="38"/>
  </w:num>
  <w:num w:numId="27">
    <w:abstractNumId w:val="5"/>
  </w:num>
  <w:num w:numId="28">
    <w:abstractNumId w:val="8"/>
  </w:num>
  <w:num w:numId="29">
    <w:abstractNumId w:val="21"/>
  </w:num>
  <w:num w:numId="30">
    <w:abstractNumId w:val="34"/>
  </w:num>
  <w:num w:numId="31">
    <w:abstractNumId w:val="31"/>
  </w:num>
  <w:num w:numId="32">
    <w:abstractNumId w:val="0"/>
  </w:num>
  <w:num w:numId="33">
    <w:abstractNumId w:val="16"/>
  </w:num>
  <w:num w:numId="34">
    <w:abstractNumId w:val="1"/>
  </w:num>
  <w:num w:numId="35">
    <w:abstractNumId w:val="19"/>
  </w:num>
  <w:num w:numId="36">
    <w:abstractNumId w:val="22"/>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8"/>
  </w:num>
  <w:num w:numId="40">
    <w:abstractNumId w:val="7"/>
  </w:num>
  <w:num w:numId="41">
    <w:abstractNumId w:val="41"/>
  </w:num>
  <w:num w:numId="42">
    <w:abstractNumId w:val="14"/>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4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10E8"/>
    <w:rsid w:val="0004249A"/>
    <w:rsid w:val="00043282"/>
    <w:rsid w:val="00044286"/>
    <w:rsid w:val="00047F28"/>
    <w:rsid w:val="00047F8C"/>
    <w:rsid w:val="000503AA"/>
    <w:rsid w:val="000506A1"/>
    <w:rsid w:val="000515DD"/>
    <w:rsid w:val="0005265A"/>
    <w:rsid w:val="000539DD"/>
    <w:rsid w:val="00053BD3"/>
    <w:rsid w:val="000556ED"/>
    <w:rsid w:val="00055FE2"/>
    <w:rsid w:val="0005616F"/>
    <w:rsid w:val="00060C2E"/>
    <w:rsid w:val="00060F70"/>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7666"/>
    <w:rsid w:val="000D0A9C"/>
    <w:rsid w:val="000D1795"/>
    <w:rsid w:val="000D2F41"/>
    <w:rsid w:val="000D329A"/>
    <w:rsid w:val="000D4B9C"/>
    <w:rsid w:val="000D4EB6"/>
    <w:rsid w:val="000D753B"/>
    <w:rsid w:val="000E4C9E"/>
    <w:rsid w:val="000E6FD7"/>
    <w:rsid w:val="000F06E1"/>
    <w:rsid w:val="000F0E3C"/>
    <w:rsid w:val="000F19D5"/>
    <w:rsid w:val="000F4AEA"/>
    <w:rsid w:val="000F67E9"/>
    <w:rsid w:val="000F7CA5"/>
    <w:rsid w:val="00104926"/>
    <w:rsid w:val="00113B1E"/>
    <w:rsid w:val="0011711C"/>
    <w:rsid w:val="00124E4F"/>
    <w:rsid w:val="001260B7"/>
    <w:rsid w:val="001265CB"/>
    <w:rsid w:val="001321C6"/>
    <w:rsid w:val="001325C4"/>
    <w:rsid w:val="00133010"/>
    <w:rsid w:val="001338EE"/>
    <w:rsid w:val="00133AAE"/>
    <w:rsid w:val="00135323"/>
    <w:rsid w:val="001356C4"/>
    <w:rsid w:val="00141114"/>
    <w:rsid w:val="00142969"/>
    <w:rsid w:val="00142974"/>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5669"/>
    <w:rsid w:val="00190087"/>
    <w:rsid w:val="001913C4"/>
    <w:rsid w:val="0019348F"/>
    <w:rsid w:val="00193A07"/>
    <w:rsid w:val="00194C95"/>
    <w:rsid w:val="00195C34"/>
    <w:rsid w:val="001A1A53"/>
    <w:rsid w:val="001A234A"/>
    <w:rsid w:val="001B06E8"/>
    <w:rsid w:val="001B193E"/>
    <w:rsid w:val="001B71D0"/>
    <w:rsid w:val="001B71EE"/>
    <w:rsid w:val="001C04A8"/>
    <w:rsid w:val="001C2C03"/>
    <w:rsid w:val="001C42F7"/>
    <w:rsid w:val="001C49E5"/>
    <w:rsid w:val="001C680C"/>
    <w:rsid w:val="001C7FEA"/>
    <w:rsid w:val="001D0499"/>
    <w:rsid w:val="001D0BBE"/>
    <w:rsid w:val="001D0ED4"/>
    <w:rsid w:val="001D212F"/>
    <w:rsid w:val="001D27F1"/>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059A4"/>
    <w:rsid w:val="00205F2C"/>
    <w:rsid w:val="00210B15"/>
    <w:rsid w:val="002142EA"/>
    <w:rsid w:val="002156CF"/>
    <w:rsid w:val="002204BB"/>
    <w:rsid w:val="00221B79"/>
    <w:rsid w:val="00221C6B"/>
    <w:rsid w:val="00224596"/>
    <w:rsid w:val="002253A1"/>
    <w:rsid w:val="00225CF8"/>
    <w:rsid w:val="0022718D"/>
    <w:rsid w:val="0022794E"/>
    <w:rsid w:val="00233D64"/>
    <w:rsid w:val="0023478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4BC"/>
    <w:rsid w:val="002643C3"/>
    <w:rsid w:val="00264A0C"/>
    <w:rsid w:val="002666D5"/>
    <w:rsid w:val="00267EF4"/>
    <w:rsid w:val="00270CB8"/>
    <w:rsid w:val="00272B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23E3"/>
    <w:rsid w:val="002B4508"/>
    <w:rsid w:val="002B5779"/>
    <w:rsid w:val="002B7332"/>
    <w:rsid w:val="002B7F51"/>
    <w:rsid w:val="002C09E7"/>
    <w:rsid w:val="002C3F07"/>
    <w:rsid w:val="002C5278"/>
    <w:rsid w:val="002C7EBB"/>
    <w:rsid w:val="002D06C1"/>
    <w:rsid w:val="002D42B5"/>
    <w:rsid w:val="002D4F1A"/>
    <w:rsid w:val="002D6DA6"/>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E62"/>
    <w:rsid w:val="00324EDD"/>
    <w:rsid w:val="003316F0"/>
    <w:rsid w:val="003331E4"/>
    <w:rsid w:val="00336C64"/>
    <w:rsid w:val="00337162"/>
    <w:rsid w:val="0034194F"/>
    <w:rsid w:val="00342DB8"/>
    <w:rsid w:val="00344605"/>
    <w:rsid w:val="003474AA"/>
    <w:rsid w:val="00350D1D"/>
    <w:rsid w:val="00351901"/>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2F"/>
    <w:rsid w:val="003974EB"/>
    <w:rsid w:val="00397CC5"/>
    <w:rsid w:val="003A1582"/>
    <w:rsid w:val="003A4077"/>
    <w:rsid w:val="003B09AD"/>
    <w:rsid w:val="003B0BD9"/>
    <w:rsid w:val="003B1F18"/>
    <w:rsid w:val="003B5BF0"/>
    <w:rsid w:val="003B60BF"/>
    <w:rsid w:val="003B6BE3"/>
    <w:rsid w:val="003C010C"/>
    <w:rsid w:val="003C0A6C"/>
    <w:rsid w:val="003C2859"/>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3F72A3"/>
    <w:rsid w:val="00400E72"/>
    <w:rsid w:val="00401400"/>
    <w:rsid w:val="00404869"/>
    <w:rsid w:val="00405884"/>
    <w:rsid w:val="00406F52"/>
    <w:rsid w:val="00407D39"/>
    <w:rsid w:val="0041477A"/>
    <w:rsid w:val="004167A3"/>
    <w:rsid w:val="00426F6C"/>
    <w:rsid w:val="00432DAA"/>
    <w:rsid w:val="00434305"/>
    <w:rsid w:val="00435DF7"/>
    <w:rsid w:val="0044083F"/>
    <w:rsid w:val="00441AE7"/>
    <w:rsid w:val="00445574"/>
    <w:rsid w:val="00445AF5"/>
    <w:rsid w:val="004467FB"/>
    <w:rsid w:val="00452D6B"/>
    <w:rsid w:val="00454484"/>
    <w:rsid w:val="0045517B"/>
    <w:rsid w:val="004563CD"/>
    <w:rsid w:val="00463B77"/>
    <w:rsid w:val="00463C7B"/>
    <w:rsid w:val="00463F02"/>
    <w:rsid w:val="004644A6"/>
    <w:rsid w:val="004659BD"/>
    <w:rsid w:val="00470775"/>
    <w:rsid w:val="004715BD"/>
    <w:rsid w:val="004746B1"/>
    <w:rsid w:val="0047583F"/>
    <w:rsid w:val="00484936"/>
    <w:rsid w:val="00485C89"/>
    <w:rsid w:val="00486BE3"/>
    <w:rsid w:val="004905E4"/>
    <w:rsid w:val="00490A89"/>
    <w:rsid w:val="00490AB4"/>
    <w:rsid w:val="004920D8"/>
    <w:rsid w:val="00492F02"/>
    <w:rsid w:val="004939AE"/>
    <w:rsid w:val="004A12DF"/>
    <w:rsid w:val="004A1BA8"/>
    <w:rsid w:val="004A4B57"/>
    <w:rsid w:val="004A63FA"/>
    <w:rsid w:val="004A677C"/>
    <w:rsid w:val="004B0272"/>
    <w:rsid w:val="004B2701"/>
    <w:rsid w:val="004B2E1B"/>
    <w:rsid w:val="004B3E93"/>
    <w:rsid w:val="004C1FBC"/>
    <w:rsid w:val="004C3F1D"/>
    <w:rsid w:val="004C458D"/>
    <w:rsid w:val="004C7556"/>
    <w:rsid w:val="004C7E9D"/>
    <w:rsid w:val="004C7F67"/>
    <w:rsid w:val="004D076D"/>
    <w:rsid w:val="004D0EF1"/>
    <w:rsid w:val="004D189E"/>
    <w:rsid w:val="004D2253"/>
    <w:rsid w:val="004D4406"/>
    <w:rsid w:val="004D7C42"/>
    <w:rsid w:val="004E0465"/>
    <w:rsid w:val="004E127B"/>
    <w:rsid w:val="004E1C0A"/>
    <w:rsid w:val="004E3014"/>
    <w:rsid w:val="004E30C5"/>
    <w:rsid w:val="004E4AA5"/>
    <w:rsid w:val="004E4AEE"/>
    <w:rsid w:val="004E59E3"/>
    <w:rsid w:val="004E67C0"/>
    <w:rsid w:val="004F391A"/>
    <w:rsid w:val="004F3CFB"/>
    <w:rsid w:val="004F6456"/>
    <w:rsid w:val="004F696E"/>
    <w:rsid w:val="004F6C71"/>
    <w:rsid w:val="00501139"/>
    <w:rsid w:val="00502991"/>
    <w:rsid w:val="0050363E"/>
    <w:rsid w:val="005039BC"/>
    <w:rsid w:val="005043BB"/>
    <w:rsid w:val="00504A3D"/>
    <w:rsid w:val="00505767"/>
    <w:rsid w:val="005073F0"/>
    <w:rsid w:val="00510A7B"/>
    <w:rsid w:val="00512F6E"/>
    <w:rsid w:val="00513038"/>
    <w:rsid w:val="00514174"/>
    <w:rsid w:val="00516088"/>
    <w:rsid w:val="00516B0B"/>
    <w:rsid w:val="005207F4"/>
    <w:rsid w:val="005220EC"/>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75D5E"/>
    <w:rsid w:val="005801E3"/>
    <w:rsid w:val="00581802"/>
    <w:rsid w:val="005836A8"/>
    <w:rsid w:val="0058409C"/>
    <w:rsid w:val="00584262"/>
    <w:rsid w:val="00586630"/>
    <w:rsid w:val="00587ADD"/>
    <w:rsid w:val="00593544"/>
    <w:rsid w:val="00594394"/>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1E63"/>
    <w:rsid w:val="005D4171"/>
    <w:rsid w:val="005D6A95"/>
    <w:rsid w:val="005D6B2C"/>
    <w:rsid w:val="005D6D9C"/>
    <w:rsid w:val="005E2335"/>
    <w:rsid w:val="005E34CA"/>
    <w:rsid w:val="005E3C18"/>
    <w:rsid w:val="005E502F"/>
    <w:rsid w:val="005E6318"/>
    <w:rsid w:val="005E6812"/>
    <w:rsid w:val="005E7829"/>
    <w:rsid w:val="005E7881"/>
    <w:rsid w:val="005E78E0"/>
    <w:rsid w:val="005F0D9C"/>
    <w:rsid w:val="005F284E"/>
    <w:rsid w:val="006015CE"/>
    <w:rsid w:val="00604784"/>
    <w:rsid w:val="00606419"/>
    <w:rsid w:val="00607D29"/>
    <w:rsid w:val="00612952"/>
    <w:rsid w:val="00612D50"/>
    <w:rsid w:val="00614CC1"/>
    <w:rsid w:val="00615A9D"/>
    <w:rsid w:val="00617387"/>
    <w:rsid w:val="006252D8"/>
    <w:rsid w:val="006259BC"/>
    <w:rsid w:val="0062636B"/>
    <w:rsid w:val="00632182"/>
    <w:rsid w:val="00632AE0"/>
    <w:rsid w:val="00633861"/>
    <w:rsid w:val="00633C17"/>
    <w:rsid w:val="00636E3E"/>
    <w:rsid w:val="006379F7"/>
    <w:rsid w:val="00637E4D"/>
    <w:rsid w:val="00640620"/>
    <w:rsid w:val="00641A1F"/>
    <w:rsid w:val="0064528D"/>
    <w:rsid w:val="0064590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B7562"/>
    <w:rsid w:val="006C1BBA"/>
    <w:rsid w:val="006C2079"/>
    <w:rsid w:val="006C29D1"/>
    <w:rsid w:val="006C317D"/>
    <w:rsid w:val="006C5A62"/>
    <w:rsid w:val="006C5D68"/>
    <w:rsid w:val="006C6976"/>
    <w:rsid w:val="006C6DD0"/>
    <w:rsid w:val="006D04EA"/>
    <w:rsid w:val="006D16C4"/>
    <w:rsid w:val="006D3E96"/>
    <w:rsid w:val="006D4515"/>
    <w:rsid w:val="006D4BB1"/>
    <w:rsid w:val="006D6593"/>
    <w:rsid w:val="006D686E"/>
    <w:rsid w:val="006F03A8"/>
    <w:rsid w:val="006F126C"/>
    <w:rsid w:val="006F2ACA"/>
    <w:rsid w:val="006F2ADC"/>
    <w:rsid w:val="006F2BFE"/>
    <w:rsid w:val="006F31E9"/>
    <w:rsid w:val="006F56E5"/>
    <w:rsid w:val="006F6284"/>
    <w:rsid w:val="007002C5"/>
    <w:rsid w:val="0070348B"/>
    <w:rsid w:val="00704387"/>
    <w:rsid w:val="00707669"/>
    <w:rsid w:val="00711CBA"/>
    <w:rsid w:val="00711FB5"/>
    <w:rsid w:val="00712A01"/>
    <w:rsid w:val="00714F58"/>
    <w:rsid w:val="00722FBF"/>
    <w:rsid w:val="00722FC2"/>
    <w:rsid w:val="00725263"/>
    <w:rsid w:val="00725949"/>
    <w:rsid w:val="00725BEF"/>
    <w:rsid w:val="00727FA2"/>
    <w:rsid w:val="007322D9"/>
    <w:rsid w:val="00732BC0"/>
    <w:rsid w:val="00732F4E"/>
    <w:rsid w:val="0073720F"/>
    <w:rsid w:val="00737796"/>
    <w:rsid w:val="0074165C"/>
    <w:rsid w:val="00742C35"/>
    <w:rsid w:val="007432CA"/>
    <w:rsid w:val="007439EB"/>
    <w:rsid w:val="00743CB4"/>
    <w:rsid w:val="00743F0A"/>
    <w:rsid w:val="007444E8"/>
    <w:rsid w:val="0074548E"/>
    <w:rsid w:val="00745773"/>
    <w:rsid w:val="00746800"/>
    <w:rsid w:val="00747CF0"/>
    <w:rsid w:val="007501A8"/>
    <w:rsid w:val="00750EE1"/>
    <w:rsid w:val="00752B4D"/>
    <w:rsid w:val="00755402"/>
    <w:rsid w:val="00756B26"/>
    <w:rsid w:val="00756EDF"/>
    <w:rsid w:val="007648B4"/>
    <w:rsid w:val="00765C43"/>
    <w:rsid w:val="00765EFB"/>
    <w:rsid w:val="007671CA"/>
    <w:rsid w:val="0076744F"/>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2CD6"/>
    <w:rsid w:val="007B5A3D"/>
    <w:rsid w:val="007B5B95"/>
    <w:rsid w:val="007B68EA"/>
    <w:rsid w:val="007B7453"/>
    <w:rsid w:val="007C2D89"/>
    <w:rsid w:val="007C4593"/>
    <w:rsid w:val="007C5309"/>
    <w:rsid w:val="007C6069"/>
    <w:rsid w:val="007D06C4"/>
    <w:rsid w:val="007D1352"/>
    <w:rsid w:val="007D2508"/>
    <w:rsid w:val="007D346A"/>
    <w:rsid w:val="007D6518"/>
    <w:rsid w:val="007D76BD"/>
    <w:rsid w:val="007E0BF1"/>
    <w:rsid w:val="007E0D02"/>
    <w:rsid w:val="007E258B"/>
    <w:rsid w:val="007F0ED8"/>
    <w:rsid w:val="007F0F63"/>
    <w:rsid w:val="007F3748"/>
    <w:rsid w:val="007F75CE"/>
    <w:rsid w:val="008013A4"/>
    <w:rsid w:val="008027CE"/>
    <w:rsid w:val="00802F42"/>
    <w:rsid w:val="00804383"/>
    <w:rsid w:val="00804BB7"/>
    <w:rsid w:val="00810257"/>
    <w:rsid w:val="008104F5"/>
    <w:rsid w:val="00811072"/>
    <w:rsid w:val="00811369"/>
    <w:rsid w:val="00815419"/>
    <w:rsid w:val="008163C8"/>
    <w:rsid w:val="008164A1"/>
    <w:rsid w:val="0081723D"/>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4695B"/>
    <w:rsid w:val="0085173A"/>
    <w:rsid w:val="00854343"/>
    <w:rsid w:val="00860297"/>
    <w:rsid w:val="008603CE"/>
    <w:rsid w:val="008620FC"/>
    <w:rsid w:val="008627A5"/>
    <w:rsid w:val="00863E05"/>
    <w:rsid w:val="0086431E"/>
    <w:rsid w:val="00865ACA"/>
    <w:rsid w:val="00865D28"/>
    <w:rsid w:val="00865F85"/>
    <w:rsid w:val="00867C10"/>
    <w:rsid w:val="00870439"/>
    <w:rsid w:val="00870DA1"/>
    <w:rsid w:val="00883F93"/>
    <w:rsid w:val="00884DB3"/>
    <w:rsid w:val="00885A9D"/>
    <w:rsid w:val="008864F6"/>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4767"/>
    <w:rsid w:val="008C5F4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8DC"/>
    <w:rsid w:val="008F67AF"/>
    <w:rsid w:val="008F70BD"/>
    <w:rsid w:val="008F788F"/>
    <w:rsid w:val="008F7EA2"/>
    <w:rsid w:val="00902722"/>
    <w:rsid w:val="009027BC"/>
    <w:rsid w:val="009062E6"/>
    <w:rsid w:val="00911AF6"/>
    <w:rsid w:val="00911BE5"/>
    <w:rsid w:val="00913CA9"/>
    <w:rsid w:val="009145AE"/>
    <w:rsid w:val="009146CE"/>
    <w:rsid w:val="00914CA7"/>
    <w:rsid w:val="00915C3E"/>
    <w:rsid w:val="009161A8"/>
    <w:rsid w:val="009245F5"/>
    <w:rsid w:val="009249EC"/>
    <w:rsid w:val="009273B3"/>
    <w:rsid w:val="009305B5"/>
    <w:rsid w:val="009335E7"/>
    <w:rsid w:val="00941FA3"/>
    <w:rsid w:val="009429D5"/>
    <w:rsid w:val="00942BF1"/>
    <w:rsid w:val="00945180"/>
    <w:rsid w:val="00945428"/>
    <w:rsid w:val="0094607B"/>
    <w:rsid w:val="00952511"/>
    <w:rsid w:val="00953604"/>
    <w:rsid w:val="009538BE"/>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4782"/>
    <w:rsid w:val="0099551B"/>
    <w:rsid w:val="00997BF1"/>
    <w:rsid w:val="009A089C"/>
    <w:rsid w:val="009A118E"/>
    <w:rsid w:val="009A21CD"/>
    <w:rsid w:val="009A278C"/>
    <w:rsid w:val="009A2BC2"/>
    <w:rsid w:val="009A42C1"/>
    <w:rsid w:val="009A5429"/>
    <w:rsid w:val="009A72AD"/>
    <w:rsid w:val="009B09E0"/>
    <w:rsid w:val="009B0BC5"/>
    <w:rsid w:val="009B1247"/>
    <w:rsid w:val="009B5331"/>
    <w:rsid w:val="009B6029"/>
    <w:rsid w:val="009B6464"/>
    <w:rsid w:val="009B6971"/>
    <w:rsid w:val="009C27F1"/>
    <w:rsid w:val="009C3152"/>
    <w:rsid w:val="009C4CFA"/>
    <w:rsid w:val="009C5070"/>
    <w:rsid w:val="009D112C"/>
    <w:rsid w:val="009D47FA"/>
    <w:rsid w:val="009D50D2"/>
    <w:rsid w:val="009D6BCA"/>
    <w:rsid w:val="009D72B9"/>
    <w:rsid w:val="009E0F62"/>
    <w:rsid w:val="009E1848"/>
    <w:rsid w:val="009E4A58"/>
    <w:rsid w:val="009E5A2D"/>
    <w:rsid w:val="009E5AB2"/>
    <w:rsid w:val="009E6219"/>
    <w:rsid w:val="009F03B3"/>
    <w:rsid w:val="00A01757"/>
    <w:rsid w:val="00A028C0"/>
    <w:rsid w:val="00A02BAE"/>
    <w:rsid w:val="00A05AA6"/>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4006C"/>
    <w:rsid w:val="00A40091"/>
    <w:rsid w:val="00A4030F"/>
    <w:rsid w:val="00A41C79"/>
    <w:rsid w:val="00A41CB5"/>
    <w:rsid w:val="00A42CDF"/>
    <w:rsid w:val="00A4307B"/>
    <w:rsid w:val="00A4452E"/>
    <w:rsid w:val="00A4472C"/>
    <w:rsid w:val="00A44E69"/>
    <w:rsid w:val="00A4661E"/>
    <w:rsid w:val="00A55BD6"/>
    <w:rsid w:val="00A55D50"/>
    <w:rsid w:val="00A57142"/>
    <w:rsid w:val="00A61D48"/>
    <w:rsid w:val="00A648CD"/>
    <w:rsid w:val="00A6537A"/>
    <w:rsid w:val="00A67866"/>
    <w:rsid w:val="00A70B07"/>
    <w:rsid w:val="00A723F8"/>
    <w:rsid w:val="00A77CCB"/>
    <w:rsid w:val="00A83D8D"/>
    <w:rsid w:val="00A83E19"/>
    <w:rsid w:val="00A8446B"/>
    <w:rsid w:val="00A8473F"/>
    <w:rsid w:val="00A862D6"/>
    <w:rsid w:val="00A8715E"/>
    <w:rsid w:val="00A87647"/>
    <w:rsid w:val="00A9295B"/>
    <w:rsid w:val="00A93B09"/>
    <w:rsid w:val="00A952D7"/>
    <w:rsid w:val="00A963F7"/>
    <w:rsid w:val="00A96AD8"/>
    <w:rsid w:val="00AA052C"/>
    <w:rsid w:val="00AA1E45"/>
    <w:rsid w:val="00AA30E6"/>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5D65"/>
    <w:rsid w:val="00AD5D89"/>
    <w:rsid w:val="00AE070A"/>
    <w:rsid w:val="00AE101C"/>
    <w:rsid w:val="00AE232F"/>
    <w:rsid w:val="00AE5EB4"/>
    <w:rsid w:val="00AF0C18"/>
    <w:rsid w:val="00AF47C5"/>
    <w:rsid w:val="00AF5398"/>
    <w:rsid w:val="00B049AF"/>
    <w:rsid w:val="00B05430"/>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432"/>
    <w:rsid w:val="00B447A5"/>
    <w:rsid w:val="00B4654C"/>
    <w:rsid w:val="00B47293"/>
    <w:rsid w:val="00B50E50"/>
    <w:rsid w:val="00B52120"/>
    <w:rsid w:val="00B54ABC"/>
    <w:rsid w:val="00B56FBE"/>
    <w:rsid w:val="00B62B58"/>
    <w:rsid w:val="00B65149"/>
    <w:rsid w:val="00B65276"/>
    <w:rsid w:val="00B66567"/>
    <w:rsid w:val="00B66F52"/>
    <w:rsid w:val="00B66FE5"/>
    <w:rsid w:val="00B72880"/>
    <w:rsid w:val="00B758BF"/>
    <w:rsid w:val="00B827A6"/>
    <w:rsid w:val="00B831CE"/>
    <w:rsid w:val="00B86677"/>
    <w:rsid w:val="00B87131"/>
    <w:rsid w:val="00B939B1"/>
    <w:rsid w:val="00B95BE2"/>
    <w:rsid w:val="00B95DCF"/>
    <w:rsid w:val="00B96D40"/>
    <w:rsid w:val="00B97386"/>
    <w:rsid w:val="00B978DB"/>
    <w:rsid w:val="00BA263B"/>
    <w:rsid w:val="00BA42B2"/>
    <w:rsid w:val="00BA58D4"/>
    <w:rsid w:val="00BA5B9E"/>
    <w:rsid w:val="00BA7C9A"/>
    <w:rsid w:val="00BB5F8F"/>
    <w:rsid w:val="00BB657A"/>
    <w:rsid w:val="00BC1A4E"/>
    <w:rsid w:val="00BC5DC7"/>
    <w:rsid w:val="00BC6B41"/>
    <w:rsid w:val="00BC6B8B"/>
    <w:rsid w:val="00BC73D8"/>
    <w:rsid w:val="00BD52D7"/>
    <w:rsid w:val="00BD5AD2"/>
    <w:rsid w:val="00BD70F1"/>
    <w:rsid w:val="00BE22F3"/>
    <w:rsid w:val="00BE5B52"/>
    <w:rsid w:val="00BE7B8D"/>
    <w:rsid w:val="00BF0993"/>
    <w:rsid w:val="00BF10A9"/>
    <w:rsid w:val="00BF1703"/>
    <w:rsid w:val="00BF231C"/>
    <w:rsid w:val="00BF51E5"/>
    <w:rsid w:val="00BF74A6"/>
    <w:rsid w:val="00BF7718"/>
    <w:rsid w:val="00BF7D6D"/>
    <w:rsid w:val="00C013AD"/>
    <w:rsid w:val="00C020FB"/>
    <w:rsid w:val="00C04904"/>
    <w:rsid w:val="00C056B3"/>
    <w:rsid w:val="00C103E5"/>
    <w:rsid w:val="00C13319"/>
    <w:rsid w:val="00C13EE9"/>
    <w:rsid w:val="00C21540"/>
    <w:rsid w:val="00C21906"/>
    <w:rsid w:val="00C21BFA"/>
    <w:rsid w:val="00C24C8D"/>
    <w:rsid w:val="00C25FE2"/>
    <w:rsid w:val="00C260F4"/>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6741"/>
    <w:rsid w:val="00CA2D1B"/>
    <w:rsid w:val="00CA662A"/>
    <w:rsid w:val="00CA7AFD"/>
    <w:rsid w:val="00CA7C3C"/>
    <w:rsid w:val="00CB0189"/>
    <w:rsid w:val="00CB0BA2"/>
    <w:rsid w:val="00CB1A42"/>
    <w:rsid w:val="00CB1B0C"/>
    <w:rsid w:val="00CB2C0B"/>
    <w:rsid w:val="00CB517D"/>
    <w:rsid w:val="00CC038D"/>
    <w:rsid w:val="00CC22AF"/>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EEF"/>
    <w:rsid w:val="00CE0C4F"/>
    <w:rsid w:val="00CE30EA"/>
    <w:rsid w:val="00CF048A"/>
    <w:rsid w:val="00CF155A"/>
    <w:rsid w:val="00CF2947"/>
    <w:rsid w:val="00CF4E76"/>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32719"/>
    <w:rsid w:val="00D33333"/>
    <w:rsid w:val="00D34CB7"/>
    <w:rsid w:val="00D352A2"/>
    <w:rsid w:val="00D4162B"/>
    <w:rsid w:val="00D4514F"/>
    <w:rsid w:val="00D451E2"/>
    <w:rsid w:val="00D45E89"/>
    <w:rsid w:val="00D45E8D"/>
    <w:rsid w:val="00D466AE"/>
    <w:rsid w:val="00D4734F"/>
    <w:rsid w:val="00D50089"/>
    <w:rsid w:val="00D51BF3"/>
    <w:rsid w:val="00D53292"/>
    <w:rsid w:val="00D54B98"/>
    <w:rsid w:val="00D56D85"/>
    <w:rsid w:val="00D66846"/>
    <w:rsid w:val="00D675FB"/>
    <w:rsid w:val="00D71F25"/>
    <w:rsid w:val="00D77031"/>
    <w:rsid w:val="00D81136"/>
    <w:rsid w:val="00D81B1A"/>
    <w:rsid w:val="00D84941"/>
    <w:rsid w:val="00D84FA1"/>
    <w:rsid w:val="00D851F0"/>
    <w:rsid w:val="00D86DB7"/>
    <w:rsid w:val="00D9060C"/>
    <w:rsid w:val="00D926D0"/>
    <w:rsid w:val="00D93030"/>
    <w:rsid w:val="00D950E1"/>
    <w:rsid w:val="00D952A6"/>
    <w:rsid w:val="00D97F99"/>
    <w:rsid w:val="00DA1E08"/>
    <w:rsid w:val="00DA24F8"/>
    <w:rsid w:val="00DA28E8"/>
    <w:rsid w:val="00DA38D3"/>
    <w:rsid w:val="00DA3932"/>
    <w:rsid w:val="00DA3AFC"/>
    <w:rsid w:val="00DA64F8"/>
    <w:rsid w:val="00DA6C15"/>
    <w:rsid w:val="00DB38EE"/>
    <w:rsid w:val="00DB498B"/>
    <w:rsid w:val="00DB66CA"/>
    <w:rsid w:val="00DB6BCA"/>
    <w:rsid w:val="00DB7113"/>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4A10"/>
    <w:rsid w:val="00E01138"/>
    <w:rsid w:val="00E02DFB"/>
    <w:rsid w:val="00E030F9"/>
    <w:rsid w:val="00E0311A"/>
    <w:rsid w:val="00E03138"/>
    <w:rsid w:val="00E06404"/>
    <w:rsid w:val="00E11A85"/>
    <w:rsid w:val="00E12495"/>
    <w:rsid w:val="00E15CCD"/>
    <w:rsid w:val="00E15D9E"/>
    <w:rsid w:val="00E202EF"/>
    <w:rsid w:val="00E210B5"/>
    <w:rsid w:val="00E2552F"/>
    <w:rsid w:val="00E3137A"/>
    <w:rsid w:val="00E32213"/>
    <w:rsid w:val="00E32CCF"/>
    <w:rsid w:val="00E33542"/>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2FF9"/>
    <w:rsid w:val="00E635D6"/>
    <w:rsid w:val="00E639BC"/>
    <w:rsid w:val="00E664CC"/>
    <w:rsid w:val="00E70388"/>
    <w:rsid w:val="00E70B15"/>
    <w:rsid w:val="00E70F92"/>
    <w:rsid w:val="00E74C54"/>
    <w:rsid w:val="00E77A03"/>
    <w:rsid w:val="00E822E8"/>
    <w:rsid w:val="00E82554"/>
    <w:rsid w:val="00E82606"/>
    <w:rsid w:val="00E846C8"/>
    <w:rsid w:val="00E84957"/>
    <w:rsid w:val="00E84A55"/>
    <w:rsid w:val="00E85BFF"/>
    <w:rsid w:val="00E90391"/>
    <w:rsid w:val="00E906C2"/>
    <w:rsid w:val="00E9070B"/>
    <w:rsid w:val="00E9311F"/>
    <w:rsid w:val="00E934D1"/>
    <w:rsid w:val="00E94AF0"/>
    <w:rsid w:val="00E95D13"/>
    <w:rsid w:val="00E95DD3"/>
    <w:rsid w:val="00E969D5"/>
    <w:rsid w:val="00EA58D1"/>
    <w:rsid w:val="00EA61BC"/>
    <w:rsid w:val="00EA681A"/>
    <w:rsid w:val="00EA735B"/>
    <w:rsid w:val="00EB0722"/>
    <w:rsid w:val="00EB1E69"/>
    <w:rsid w:val="00EB2086"/>
    <w:rsid w:val="00EB5EDF"/>
    <w:rsid w:val="00EB60FE"/>
    <w:rsid w:val="00EB74DB"/>
    <w:rsid w:val="00EC5026"/>
    <w:rsid w:val="00EC5359"/>
    <w:rsid w:val="00EC562A"/>
    <w:rsid w:val="00ED067A"/>
    <w:rsid w:val="00ED2B50"/>
    <w:rsid w:val="00EE0350"/>
    <w:rsid w:val="00EE0719"/>
    <w:rsid w:val="00EE0E80"/>
    <w:rsid w:val="00EE613F"/>
    <w:rsid w:val="00EE7295"/>
    <w:rsid w:val="00EE7869"/>
    <w:rsid w:val="00EF054A"/>
    <w:rsid w:val="00EF3235"/>
    <w:rsid w:val="00EF7E72"/>
    <w:rsid w:val="00F01542"/>
    <w:rsid w:val="00F06D37"/>
    <w:rsid w:val="00F07B9D"/>
    <w:rsid w:val="00F10926"/>
    <w:rsid w:val="00F110DD"/>
    <w:rsid w:val="00F11586"/>
    <w:rsid w:val="00F1183B"/>
    <w:rsid w:val="00F11C9F"/>
    <w:rsid w:val="00F12263"/>
    <w:rsid w:val="00F1409D"/>
    <w:rsid w:val="00F14214"/>
    <w:rsid w:val="00F157A9"/>
    <w:rsid w:val="00F25BB6"/>
    <w:rsid w:val="00F26B7E"/>
    <w:rsid w:val="00F27A3B"/>
    <w:rsid w:val="00F33817"/>
    <w:rsid w:val="00F3447F"/>
    <w:rsid w:val="00F352DD"/>
    <w:rsid w:val="00F420D5"/>
    <w:rsid w:val="00F451EA"/>
    <w:rsid w:val="00F45447"/>
    <w:rsid w:val="00F456C6"/>
    <w:rsid w:val="00F4577B"/>
    <w:rsid w:val="00F46496"/>
    <w:rsid w:val="00F474D0"/>
    <w:rsid w:val="00F50179"/>
    <w:rsid w:val="00F56511"/>
    <w:rsid w:val="00F6194E"/>
    <w:rsid w:val="00F623AC"/>
    <w:rsid w:val="00F6412A"/>
    <w:rsid w:val="00F65893"/>
    <w:rsid w:val="00F66A4A"/>
    <w:rsid w:val="00F71E22"/>
    <w:rsid w:val="00F72142"/>
    <w:rsid w:val="00F72AE7"/>
    <w:rsid w:val="00F77D98"/>
    <w:rsid w:val="00F833BA"/>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45F1"/>
    <w:rsid w:val="00FB4A72"/>
    <w:rsid w:val="00FB51A0"/>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5D16"/>
    <w:rsid w:val="00FF730C"/>
    <w:rsid w:val="00FF73F4"/>
    <w:rsid w:val="00FF7CE4"/>
    <w:rsid w:val="00FF7E39"/>
    <w:rsid w:val="013A1EF7"/>
    <w:rsid w:val="01773477"/>
    <w:rsid w:val="01A030F7"/>
    <w:rsid w:val="01D3030E"/>
    <w:rsid w:val="02257075"/>
    <w:rsid w:val="02AA0A55"/>
    <w:rsid w:val="02AA6CEC"/>
    <w:rsid w:val="02E64D83"/>
    <w:rsid w:val="036156A8"/>
    <w:rsid w:val="03751C28"/>
    <w:rsid w:val="042A0462"/>
    <w:rsid w:val="0476620F"/>
    <w:rsid w:val="047A14E6"/>
    <w:rsid w:val="04952CB1"/>
    <w:rsid w:val="055E2E82"/>
    <w:rsid w:val="05696BF0"/>
    <w:rsid w:val="057425F9"/>
    <w:rsid w:val="05D56055"/>
    <w:rsid w:val="070C2641"/>
    <w:rsid w:val="0730466D"/>
    <w:rsid w:val="07C13FD3"/>
    <w:rsid w:val="07D3491C"/>
    <w:rsid w:val="07D82EBD"/>
    <w:rsid w:val="08094576"/>
    <w:rsid w:val="082E2B16"/>
    <w:rsid w:val="08335DA8"/>
    <w:rsid w:val="08636B3A"/>
    <w:rsid w:val="08A84AC3"/>
    <w:rsid w:val="08F063EC"/>
    <w:rsid w:val="09127DD2"/>
    <w:rsid w:val="09556FFD"/>
    <w:rsid w:val="09A959D0"/>
    <w:rsid w:val="09EF46FD"/>
    <w:rsid w:val="0A420FE1"/>
    <w:rsid w:val="0A7B1275"/>
    <w:rsid w:val="0A904A12"/>
    <w:rsid w:val="0AE36AAE"/>
    <w:rsid w:val="0B5C144E"/>
    <w:rsid w:val="0BAA1125"/>
    <w:rsid w:val="0C7A05FC"/>
    <w:rsid w:val="0C8A677F"/>
    <w:rsid w:val="0CB74E42"/>
    <w:rsid w:val="0CFE46DD"/>
    <w:rsid w:val="0D49576F"/>
    <w:rsid w:val="0D593F31"/>
    <w:rsid w:val="0D612941"/>
    <w:rsid w:val="0D6543A8"/>
    <w:rsid w:val="0DBA48B5"/>
    <w:rsid w:val="0DC977E5"/>
    <w:rsid w:val="0E10795B"/>
    <w:rsid w:val="0E1A45BD"/>
    <w:rsid w:val="0F083839"/>
    <w:rsid w:val="0F4D0F04"/>
    <w:rsid w:val="0F570D05"/>
    <w:rsid w:val="0FB64C56"/>
    <w:rsid w:val="0FB70863"/>
    <w:rsid w:val="0FF723F3"/>
    <w:rsid w:val="0FF94F29"/>
    <w:rsid w:val="10687DDF"/>
    <w:rsid w:val="10E1298E"/>
    <w:rsid w:val="11584CBF"/>
    <w:rsid w:val="119F4D9A"/>
    <w:rsid w:val="11C16D84"/>
    <w:rsid w:val="120B1886"/>
    <w:rsid w:val="1228663E"/>
    <w:rsid w:val="126C60B4"/>
    <w:rsid w:val="129C5AC2"/>
    <w:rsid w:val="13247DF6"/>
    <w:rsid w:val="137A473C"/>
    <w:rsid w:val="13B55E3D"/>
    <w:rsid w:val="13DD515A"/>
    <w:rsid w:val="13F0076C"/>
    <w:rsid w:val="1407698C"/>
    <w:rsid w:val="14282F3D"/>
    <w:rsid w:val="142C4DA5"/>
    <w:rsid w:val="144846D5"/>
    <w:rsid w:val="144B3DA6"/>
    <w:rsid w:val="145155EE"/>
    <w:rsid w:val="145274D2"/>
    <w:rsid w:val="1479737A"/>
    <w:rsid w:val="14807EC9"/>
    <w:rsid w:val="14B35F8C"/>
    <w:rsid w:val="14F55AF2"/>
    <w:rsid w:val="15160356"/>
    <w:rsid w:val="15287DDD"/>
    <w:rsid w:val="15AE34DE"/>
    <w:rsid w:val="162B3EF0"/>
    <w:rsid w:val="162F6427"/>
    <w:rsid w:val="16504AAA"/>
    <w:rsid w:val="1652329D"/>
    <w:rsid w:val="17070796"/>
    <w:rsid w:val="170E28DF"/>
    <w:rsid w:val="1782289D"/>
    <w:rsid w:val="178648D2"/>
    <w:rsid w:val="17B648CC"/>
    <w:rsid w:val="17D4651D"/>
    <w:rsid w:val="18270E2D"/>
    <w:rsid w:val="18325D3B"/>
    <w:rsid w:val="18595BDC"/>
    <w:rsid w:val="186F0003"/>
    <w:rsid w:val="18760DCB"/>
    <w:rsid w:val="188A4FEF"/>
    <w:rsid w:val="18A07B44"/>
    <w:rsid w:val="18A54F7E"/>
    <w:rsid w:val="192E3BDE"/>
    <w:rsid w:val="194E7369"/>
    <w:rsid w:val="195106E6"/>
    <w:rsid w:val="19593B1A"/>
    <w:rsid w:val="197264EE"/>
    <w:rsid w:val="1A5F6DBB"/>
    <w:rsid w:val="1AA149D4"/>
    <w:rsid w:val="1AEA7B27"/>
    <w:rsid w:val="1B163A7E"/>
    <w:rsid w:val="1BBA5F0E"/>
    <w:rsid w:val="1BD35136"/>
    <w:rsid w:val="1C117EA1"/>
    <w:rsid w:val="1C2019B2"/>
    <w:rsid w:val="1C511A8F"/>
    <w:rsid w:val="1C676F3A"/>
    <w:rsid w:val="1C6B38EC"/>
    <w:rsid w:val="1CE134DB"/>
    <w:rsid w:val="1DAA4ED3"/>
    <w:rsid w:val="1DF42572"/>
    <w:rsid w:val="1EC52402"/>
    <w:rsid w:val="1ECC7CC5"/>
    <w:rsid w:val="1EE37A50"/>
    <w:rsid w:val="1EF8384A"/>
    <w:rsid w:val="1F140A8B"/>
    <w:rsid w:val="1F4821DF"/>
    <w:rsid w:val="1FA92C6C"/>
    <w:rsid w:val="1FF71F26"/>
    <w:rsid w:val="20AE0935"/>
    <w:rsid w:val="20F407A2"/>
    <w:rsid w:val="20F827AF"/>
    <w:rsid w:val="210727EB"/>
    <w:rsid w:val="21287581"/>
    <w:rsid w:val="212E23F0"/>
    <w:rsid w:val="21367D83"/>
    <w:rsid w:val="21762DE7"/>
    <w:rsid w:val="21827545"/>
    <w:rsid w:val="21A03638"/>
    <w:rsid w:val="21E32E28"/>
    <w:rsid w:val="22151E18"/>
    <w:rsid w:val="223D2C7A"/>
    <w:rsid w:val="224C3750"/>
    <w:rsid w:val="2272406A"/>
    <w:rsid w:val="22DE3435"/>
    <w:rsid w:val="22E174C7"/>
    <w:rsid w:val="22E643FB"/>
    <w:rsid w:val="24810A0C"/>
    <w:rsid w:val="24A018A2"/>
    <w:rsid w:val="24B97EB5"/>
    <w:rsid w:val="255E5811"/>
    <w:rsid w:val="25861BE4"/>
    <w:rsid w:val="25862F9E"/>
    <w:rsid w:val="25A57C4A"/>
    <w:rsid w:val="25E8185F"/>
    <w:rsid w:val="26A0234F"/>
    <w:rsid w:val="26E90950"/>
    <w:rsid w:val="272877F3"/>
    <w:rsid w:val="273158CC"/>
    <w:rsid w:val="287D6D64"/>
    <w:rsid w:val="29084DDE"/>
    <w:rsid w:val="290D2A33"/>
    <w:rsid w:val="299D266E"/>
    <w:rsid w:val="29A55AC9"/>
    <w:rsid w:val="29A90543"/>
    <w:rsid w:val="29DD55F2"/>
    <w:rsid w:val="29EA4137"/>
    <w:rsid w:val="29F53E27"/>
    <w:rsid w:val="2A5A6D09"/>
    <w:rsid w:val="2A780A72"/>
    <w:rsid w:val="2ABE4522"/>
    <w:rsid w:val="2ADB055C"/>
    <w:rsid w:val="2AE16896"/>
    <w:rsid w:val="2B1E75E4"/>
    <w:rsid w:val="2B47568D"/>
    <w:rsid w:val="2B9B24DD"/>
    <w:rsid w:val="2BA301A2"/>
    <w:rsid w:val="2BB13AE1"/>
    <w:rsid w:val="2C0F1B7C"/>
    <w:rsid w:val="2C1C6B3C"/>
    <w:rsid w:val="2C7C350C"/>
    <w:rsid w:val="2D040E66"/>
    <w:rsid w:val="2D16084A"/>
    <w:rsid w:val="2D3458DB"/>
    <w:rsid w:val="2DDA5646"/>
    <w:rsid w:val="2DE96E10"/>
    <w:rsid w:val="2E3D62E3"/>
    <w:rsid w:val="2E9118F2"/>
    <w:rsid w:val="2EC92D50"/>
    <w:rsid w:val="2EFE507F"/>
    <w:rsid w:val="2F1E393B"/>
    <w:rsid w:val="2F616747"/>
    <w:rsid w:val="2FCB3C7C"/>
    <w:rsid w:val="2FF1644F"/>
    <w:rsid w:val="303B772F"/>
    <w:rsid w:val="304A40F7"/>
    <w:rsid w:val="30683492"/>
    <w:rsid w:val="306A1C8B"/>
    <w:rsid w:val="307B2717"/>
    <w:rsid w:val="30E30E41"/>
    <w:rsid w:val="30EB624E"/>
    <w:rsid w:val="30F15BD9"/>
    <w:rsid w:val="310133E7"/>
    <w:rsid w:val="31477745"/>
    <w:rsid w:val="315E6F1C"/>
    <w:rsid w:val="31CA7F73"/>
    <w:rsid w:val="31E520B5"/>
    <w:rsid w:val="32006FB8"/>
    <w:rsid w:val="323B7C01"/>
    <w:rsid w:val="32474554"/>
    <w:rsid w:val="32635772"/>
    <w:rsid w:val="328C7422"/>
    <w:rsid w:val="332A30CD"/>
    <w:rsid w:val="340714B4"/>
    <w:rsid w:val="340C5B48"/>
    <w:rsid w:val="347F4EB0"/>
    <w:rsid w:val="34D11437"/>
    <w:rsid w:val="35913690"/>
    <w:rsid w:val="36137C5B"/>
    <w:rsid w:val="36286165"/>
    <w:rsid w:val="367930B6"/>
    <w:rsid w:val="36894F05"/>
    <w:rsid w:val="37032311"/>
    <w:rsid w:val="37A56698"/>
    <w:rsid w:val="37F25967"/>
    <w:rsid w:val="38BD1B07"/>
    <w:rsid w:val="38C87456"/>
    <w:rsid w:val="39137E32"/>
    <w:rsid w:val="39291FD6"/>
    <w:rsid w:val="392B274E"/>
    <w:rsid w:val="392E06D5"/>
    <w:rsid w:val="393B0601"/>
    <w:rsid w:val="393E0C76"/>
    <w:rsid w:val="393F66F8"/>
    <w:rsid w:val="39596403"/>
    <w:rsid w:val="39AB195F"/>
    <w:rsid w:val="39C85449"/>
    <w:rsid w:val="3A1E721A"/>
    <w:rsid w:val="3A57370C"/>
    <w:rsid w:val="3AAE7BD3"/>
    <w:rsid w:val="3AB3217D"/>
    <w:rsid w:val="3AFC5754"/>
    <w:rsid w:val="3B0C7A06"/>
    <w:rsid w:val="3B1A178B"/>
    <w:rsid w:val="3B2B1735"/>
    <w:rsid w:val="3B2C1FD3"/>
    <w:rsid w:val="3B3C6D03"/>
    <w:rsid w:val="3B9B00E6"/>
    <w:rsid w:val="3BB5253C"/>
    <w:rsid w:val="3BBC6D5E"/>
    <w:rsid w:val="3BF969D4"/>
    <w:rsid w:val="3C8309FA"/>
    <w:rsid w:val="3C8D3D77"/>
    <w:rsid w:val="3CEA1CF0"/>
    <w:rsid w:val="3D4311FF"/>
    <w:rsid w:val="3E0A4334"/>
    <w:rsid w:val="3E227760"/>
    <w:rsid w:val="3E2B1B39"/>
    <w:rsid w:val="3EA2450D"/>
    <w:rsid w:val="3EB07A18"/>
    <w:rsid w:val="3EE52953"/>
    <w:rsid w:val="3F14070E"/>
    <w:rsid w:val="3F2E2A49"/>
    <w:rsid w:val="3F7323A4"/>
    <w:rsid w:val="3F9F0022"/>
    <w:rsid w:val="3FAD2204"/>
    <w:rsid w:val="3FE53B0F"/>
    <w:rsid w:val="4024581C"/>
    <w:rsid w:val="40865399"/>
    <w:rsid w:val="40A26476"/>
    <w:rsid w:val="40AA35E1"/>
    <w:rsid w:val="41354C37"/>
    <w:rsid w:val="415B2A37"/>
    <w:rsid w:val="4229039A"/>
    <w:rsid w:val="423D1B28"/>
    <w:rsid w:val="42500259"/>
    <w:rsid w:val="4278399C"/>
    <w:rsid w:val="42C366C0"/>
    <w:rsid w:val="43207645"/>
    <w:rsid w:val="433C4A91"/>
    <w:rsid w:val="43410E67"/>
    <w:rsid w:val="43740454"/>
    <w:rsid w:val="439E7EFB"/>
    <w:rsid w:val="447C1AE8"/>
    <w:rsid w:val="44877E79"/>
    <w:rsid w:val="44E0704B"/>
    <w:rsid w:val="44E243F9"/>
    <w:rsid w:val="44E51517"/>
    <w:rsid w:val="44E51579"/>
    <w:rsid w:val="44E71197"/>
    <w:rsid w:val="45777F3A"/>
    <w:rsid w:val="457E0411"/>
    <w:rsid w:val="46714521"/>
    <w:rsid w:val="4680502C"/>
    <w:rsid w:val="46984B86"/>
    <w:rsid w:val="46C03960"/>
    <w:rsid w:val="46D17369"/>
    <w:rsid w:val="470A74CE"/>
    <w:rsid w:val="47713739"/>
    <w:rsid w:val="47AE33B5"/>
    <w:rsid w:val="47D05003"/>
    <w:rsid w:val="483114A1"/>
    <w:rsid w:val="48B64E83"/>
    <w:rsid w:val="48BC66F4"/>
    <w:rsid w:val="492F531F"/>
    <w:rsid w:val="493573A4"/>
    <w:rsid w:val="49CC3DD4"/>
    <w:rsid w:val="4A387EDF"/>
    <w:rsid w:val="4A826ECA"/>
    <w:rsid w:val="4AAB30FD"/>
    <w:rsid w:val="4AAD6656"/>
    <w:rsid w:val="4AB07775"/>
    <w:rsid w:val="4B392FB1"/>
    <w:rsid w:val="4B4A1E61"/>
    <w:rsid w:val="4B517E8D"/>
    <w:rsid w:val="4B6648C5"/>
    <w:rsid w:val="4BA02C21"/>
    <w:rsid w:val="4BB01A83"/>
    <w:rsid w:val="4BDE4B44"/>
    <w:rsid w:val="4C570292"/>
    <w:rsid w:val="4C60222C"/>
    <w:rsid w:val="4C997749"/>
    <w:rsid w:val="4CDC358A"/>
    <w:rsid w:val="4D122884"/>
    <w:rsid w:val="4D303F62"/>
    <w:rsid w:val="4DA87E27"/>
    <w:rsid w:val="4E3D12C0"/>
    <w:rsid w:val="4E7845BD"/>
    <w:rsid w:val="4EAD230E"/>
    <w:rsid w:val="4F365F84"/>
    <w:rsid w:val="4F7534EA"/>
    <w:rsid w:val="4F76638D"/>
    <w:rsid w:val="4FA57334"/>
    <w:rsid w:val="4FB87457"/>
    <w:rsid w:val="4FD94FB2"/>
    <w:rsid w:val="50095066"/>
    <w:rsid w:val="501B25EE"/>
    <w:rsid w:val="50834F8C"/>
    <w:rsid w:val="50DF4CBB"/>
    <w:rsid w:val="50E5764D"/>
    <w:rsid w:val="512B214C"/>
    <w:rsid w:val="51507EDD"/>
    <w:rsid w:val="51C32D2F"/>
    <w:rsid w:val="51DA5080"/>
    <w:rsid w:val="51F033D9"/>
    <w:rsid w:val="52164E2C"/>
    <w:rsid w:val="52293911"/>
    <w:rsid w:val="52D02622"/>
    <w:rsid w:val="52D56189"/>
    <w:rsid w:val="52EA7884"/>
    <w:rsid w:val="52FD3386"/>
    <w:rsid w:val="53464879"/>
    <w:rsid w:val="53B7740C"/>
    <w:rsid w:val="53F6524D"/>
    <w:rsid w:val="53FB16D5"/>
    <w:rsid w:val="5439129E"/>
    <w:rsid w:val="543C07D0"/>
    <w:rsid w:val="548E74F1"/>
    <w:rsid w:val="54D87DBE"/>
    <w:rsid w:val="54DF3357"/>
    <w:rsid w:val="54F52B27"/>
    <w:rsid w:val="5548495D"/>
    <w:rsid w:val="555C652E"/>
    <w:rsid w:val="558829CE"/>
    <w:rsid w:val="55ED0140"/>
    <w:rsid w:val="56297E0A"/>
    <w:rsid w:val="56C361B3"/>
    <w:rsid w:val="57442C2F"/>
    <w:rsid w:val="57EB4E04"/>
    <w:rsid w:val="5823055A"/>
    <w:rsid w:val="58C4014C"/>
    <w:rsid w:val="58D354A2"/>
    <w:rsid w:val="593773EE"/>
    <w:rsid w:val="59415C87"/>
    <w:rsid w:val="59845ACC"/>
    <w:rsid w:val="59943D66"/>
    <w:rsid w:val="59A13A47"/>
    <w:rsid w:val="59A33437"/>
    <w:rsid w:val="5A1C2103"/>
    <w:rsid w:val="5A245D72"/>
    <w:rsid w:val="5A3C5D11"/>
    <w:rsid w:val="5A6C5AC7"/>
    <w:rsid w:val="5ACF620B"/>
    <w:rsid w:val="5B115F12"/>
    <w:rsid w:val="5B507A5E"/>
    <w:rsid w:val="5B876885"/>
    <w:rsid w:val="5BC23D06"/>
    <w:rsid w:val="5BCF5BF8"/>
    <w:rsid w:val="5BE73454"/>
    <w:rsid w:val="5BF86659"/>
    <w:rsid w:val="5BFB3F1E"/>
    <w:rsid w:val="5CCE3752"/>
    <w:rsid w:val="5CE7569B"/>
    <w:rsid w:val="5D584B8A"/>
    <w:rsid w:val="5D806B0C"/>
    <w:rsid w:val="5D9F61E2"/>
    <w:rsid w:val="5DAE4FBE"/>
    <w:rsid w:val="5E122AE4"/>
    <w:rsid w:val="5E4724B4"/>
    <w:rsid w:val="5EDB472C"/>
    <w:rsid w:val="5EE53C8B"/>
    <w:rsid w:val="608C4857"/>
    <w:rsid w:val="60B03685"/>
    <w:rsid w:val="60FC0BE9"/>
    <w:rsid w:val="612251DD"/>
    <w:rsid w:val="615141B8"/>
    <w:rsid w:val="61867AEA"/>
    <w:rsid w:val="61A26717"/>
    <w:rsid w:val="61A55269"/>
    <w:rsid w:val="61B775F4"/>
    <w:rsid w:val="61C2088C"/>
    <w:rsid w:val="61C719DA"/>
    <w:rsid w:val="61F85912"/>
    <w:rsid w:val="62194681"/>
    <w:rsid w:val="62525FDC"/>
    <w:rsid w:val="62CF7120"/>
    <w:rsid w:val="63562387"/>
    <w:rsid w:val="635D721F"/>
    <w:rsid w:val="63701BA4"/>
    <w:rsid w:val="63C86E42"/>
    <w:rsid w:val="63E428F5"/>
    <w:rsid w:val="63FF2444"/>
    <w:rsid w:val="641A2052"/>
    <w:rsid w:val="64474252"/>
    <w:rsid w:val="644C5C91"/>
    <w:rsid w:val="6461488F"/>
    <w:rsid w:val="64A433CB"/>
    <w:rsid w:val="64AA5239"/>
    <w:rsid w:val="64AD388F"/>
    <w:rsid w:val="64C44173"/>
    <w:rsid w:val="64E93273"/>
    <w:rsid w:val="650D4D24"/>
    <w:rsid w:val="651C7210"/>
    <w:rsid w:val="653945E8"/>
    <w:rsid w:val="6542523A"/>
    <w:rsid w:val="658333B0"/>
    <w:rsid w:val="6598383A"/>
    <w:rsid w:val="65F251CE"/>
    <w:rsid w:val="663A04AD"/>
    <w:rsid w:val="66AF26CD"/>
    <w:rsid w:val="66C8188B"/>
    <w:rsid w:val="66E95BFF"/>
    <w:rsid w:val="67033AE4"/>
    <w:rsid w:val="670F1A60"/>
    <w:rsid w:val="6733458F"/>
    <w:rsid w:val="67E65DE6"/>
    <w:rsid w:val="680B5AA2"/>
    <w:rsid w:val="682F0A97"/>
    <w:rsid w:val="686E3363"/>
    <w:rsid w:val="68C2631C"/>
    <w:rsid w:val="690206D5"/>
    <w:rsid w:val="692D6C1A"/>
    <w:rsid w:val="694A7587"/>
    <w:rsid w:val="69AE3FB1"/>
    <w:rsid w:val="69CB2484"/>
    <w:rsid w:val="6A143694"/>
    <w:rsid w:val="6A6E0BAF"/>
    <w:rsid w:val="6A7A68BC"/>
    <w:rsid w:val="6A9360E0"/>
    <w:rsid w:val="6AAF6701"/>
    <w:rsid w:val="6AB31779"/>
    <w:rsid w:val="6AE33973"/>
    <w:rsid w:val="6B361B10"/>
    <w:rsid w:val="6B6F1752"/>
    <w:rsid w:val="6B733B4A"/>
    <w:rsid w:val="6B87331F"/>
    <w:rsid w:val="6BEE72ED"/>
    <w:rsid w:val="6C106EA3"/>
    <w:rsid w:val="6C343D43"/>
    <w:rsid w:val="6CE15666"/>
    <w:rsid w:val="6CE74408"/>
    <w:rsid w:val="6D0D4676"/>
    <w:rsid w:val="6D2720B4"/>
    <w:rsid w:val="6D810C58"/>
    <w:rsid w:val="6D8C0EC3"/>
    <w:rsid w:val="6E5B1D9A"/>
    <w:rsid w:val="6EBF1ABE"/>
    <w:rsid w:val="6EE719FA"/>
    <w:rsid w:val="6F023341"/>
    <w:rsid w:val="6FE01311"/>
    <w:rsid w:val="6FF66A50"/>
    <w:rsid w:val="702E2F9A"/>
    <w:rsid w:val="70D81D68"/>
    <w:rsid w:val="717E6927"/>
    <w:rsid w:val="71CF4C44"/>
    <w:rsid w:val="720417BF"/>
    <w:rsid w:val="720D7FDC"/>
    <w:rsid w:val="724C193D"/>
    <w:rsid w:val="72964772"/>
    <w:rsid w:val="73356235"/>
    <w:rsid w:val="73757B18"/>
    <w:rsid w:val="73807349"/>
    <w:rsid w:val="73AD0F1F"/>
    <w:rsid w:val="740622E5"/>
    <w:rsid w:val="74065B69"/>
    <w:rsid w:val="740C4C31"/>
    <w:rsid w:val="7468041A"/>
    <w:rsid w:val="75165910"/>
    <w:rsid w:val="751F0834"/>
    <w:rsid w:val="75552205"/>
    <w:rsid w:val="755D6E26"/>
    <w:rsid w:val="75645348"/>
    <w:rsid w:val="75651991"/>
    <w:rsid w:val="758B4C38"/>
    <w:rsid w:val="75CA1A71"/>
    <w:rsid w:val="7646791C"/>
    <w:rsid w:val="76975565"/>
    <w:rsid w:val="76AD67F9"/>
    <w:rsid w:val="76DD1530"/>
    <w:rsid w:val="76DD506E"/>
    <w:rsid w:val="770B57AA"/>
    <w:rsid w:val="771F2095"/>
    <w:rsid w:val="775904DE"/>
    <w:rsid w:val="775B60D4"/>
    <w:rsid w:val="781055B6"/>
    <w:rsid w:val="78222126"/>
    <w:rsid w:val="786E0D52"/>
    <w:rsid w:val="78731706"/>
    <w:rsid w:val="78B75E9C"/>
    <w:rsid w:val="78FA15BB"/>
    <w:rsid w:val="794F0BB2"/>
    <w:rsid w:val="795F1CC5"/>
    <w:rsid w:val="797A042B"/>
    <w:rsid w:val="79A97D7C"/>
    <w:rsid w:val="79EB4F94"/>
    <w:rsid w:val="7A033988"/>
    <w:rsid w:val="7A0A7A48"/>
    <w:rsid w:val="7A5A7751"/>
    <w:rsid w:val="7A614410"/>
    <w:rsid w:val="7A885EB3"/>
    <w:rsid w:val="7A9A5055"/>
    <w:rsid w:val="7AA51E44"/>
    <w:rsid w:val="7B0A1B69"/>
    <w:rsid w:val="7B597FE2"/>
    <w:rsid w:val="7B7E17DF"/>
    <w:rsid w:val="7B977A32"/>
    <w:rsid w:val="7BEC31E9"/>
    <w:rsid w:val="7C1B615D"/>
    <w:rsid w:val="7C8C4F96"/>
    <w:rsid w:val="7E927485"/>
    <w:rsid w:val="7F635236"/>
    <w:rsid w:val="7FBB0A7E"/>
    <w:rsid w:val="7FBC7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0"/>
    <w:qFormat/>
    <w:uiPriority w:val="0"/>
    <w:pPr>
      <w:keepNext/>
      <w:keepLines/>
      <w:spacing w:before="260" w:after="260" w:line="416" w:lineRule="auto"/>
      <w:outlineLvl w:val="2"/>
    </w:pPr>
    <w:rPr>
      <w:b/>
      <w:bCs/>
      <w:sz w:val="32"/>
      <w:szCs w:val="32"/>
    </w:rPr>
  </w:style>
  <w:style w:type="paragraph" w:styleId="6">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annotation text"/>
    <w:basedOn w:val="1"/>
    <w:qFormat/>
    <w:uiPriority w:val="0"/>
    <w:pPr>
      <w:jc w:val="left"/>
    </w:pPr>
  </w:style>
  <w:style w:type="paragraph" w:styleId="14">
    <w:name w:val="Body Text"/>
    <w:basedOn w:val="1"/>
    <w:next w:val="1"/>
    <w:link w:val="38"/>
    <w:qFormat/>
    <w:uiPriority w:val="99"/>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qFormat/>
    <w:uiPriority w:val="0"/>
    <w:pPr>
      <w:autoSpaceDE w:val="0"/>
      <w:autoSpaceDN w:val="0"/>
      <w:spacing w:before="100" w:beforeAutospacing="1" w:after="100" w:afterAutospacing="1" w:line="240" w:lineRule="auto"/>
      <w:jc w:val="left"/>
    </w:pPr>
    <w:rPr>
      <w:rFonts w:ascii="Times New Roman" w:hAnsi="Times New Roman"/>
      <w:kern w:val="0"/>
      <w:sz w:val="24"/>
      <w:szCs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Body Text First Indent"/>
    <w:basedOn w:val="14"/>
    <w:unhideWhenUsed/>
    <w:qFormat/>
    <w:uiPriority w:val="99"/>
    <w:pPr>
      <w:adjustRightInd/>
      <w:snapToGrid/>
      <w:spacing w:after="120" w:line="240" w:lineRule="auto"/>
      <w:ind w:firstLine="420" w:firstLineChars="100"/>
    </w:pPr>
    <w:rPr>
      <w:sz w:val="21"/>
      <w:szCs w:val="22"/>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2 字符"/>
    <w:link w:val="4"/>
    <w:qFormat/>
    <w:uiPriority w:val="0"/>
    <w:rPr>
      <w:rFonts w:ascii="Arial" w:hAnsi="Arial" w:eastAsia="黑体"/>
      <w:b/>
      <w:bCs/>
      <w:kern w:val="2"/>
      <w:sz w:val="32"/>
      <w:szCs w:val="32"/>
    </w:rPr>
  </w:style>
  <w:style w:type="character" w:customStyle="1" w:styleId="38">
    <w:name w:val="正文文本 字符"/>
    <w:link w:val="14"/>
    <w:qFormat/>
    <w:uiPriority w:val="99"/>
    <w:rPr>
      <w:kern w:val="2"/>
      <w:sz w:val="21"/>
      <w:szCs w:val="21"/>
    </w:rPr>
  </w:style>
  <w:style w:type="character" w:customStyle="1" w:styleId="39">
    <w:name w:val="标题 1 字符"/>
    <w:link w:val="3"/>
    <w:qFormat/>
    <w:uiPriority w:val="0"/>
    <w:rPr>
      <w:b/>
      <w:bCs/>
      <w:kern w:val="44"/>
      <w:sz w:val="44"/>
      <w:szCs w:val="44"/>
    </w:rPr>
  </w:style>
  <w:style w:type="character" w:customStyle="1" w:styleId="40">
    <w:name w:val="标题 3 字符"/>
    <w:link w:val="5"/>
    <w:qFormat/>
    <w:uiPriority w:val="0"/>
    <w:rPr>
      <w:b/>
      <w:bCs/>
      <w:kern w:val="2"/>
      <w:sz w:val="32"/>
      <w:szCs w:val="32"/>
    </w:rPr>
  </w:style>
  <w:style w:type="character" w:customStyle="1" w:styleId="41">
    <w:name w:val="标题 4 字符"/>
    <w:link w:val="6"/>
    <w:qFormat/>
    <w:uiPriority w:val="0"/>
    <w:rPr>
      <w:rFonts w:ascii="Arial" w:hAnsi="Arial" w:eastAsia="黑体"/>
      <w:b/>
      <w:bCs/>
      <w:kern w:val="2"/>
      <w:sz w:val="28"/>
      <w:szCs w:val="28"/>
    </w:rPr>
  </w:style>
  <w:style w:type="character" w:customStyle="1" w:styleId="42">
    <w:name w:val="标题 5 字符"/>
    <w:link w:val="7"/>
    <w:qFormat/>
    <w:uiPriority w:val="0"/>
    <w:rPr>
      <w:b/>
      <w:bCs/>
      <w:kern w:val="2"/>
      <w:sz w:val="28"/>
      <w:szCs w:val="28"/>
    </w:rPr>
  </w:style>
  <w:style w:type="character" w:customStyle="1" w:styleId="43">
    <w:name w:val="标题 6 字符"/>
    <w:link w:val="8"/>
    <w:qFormat/>
    <w:uiPriority w:val="0"/>
    <w:rPr>
      <w:rFonts w:ascii="Arial" w:hAnsi="Arial" w:eastAsia="黑体"/>
      <w:b/>
      <w:bCs/>
      <w:kern w:val="2"/>
      <w:sz w:val="24"/>
      <w:szCs w:val="24"/>
    </w:rPr>
  </w:style>
  <w:style w:type="character" w:customStyle="1" w:styleId="44">
    <w:name w:val="标题 7 字符"/>
    <w:link w:val="9"/>
    <w:qFormat/>
    <w:uiPriority w:val="0"/>
    <w:rPr>
      <w:b/>
      <w:bCs/>
      <w:kern w:val="2"/>
      <w:sz w:val="24"/>
      <w:szCs w:val="24"/>
    </w:rPr>
  </w:style>
  <w:style w:type="character" w:customStyle="1" w:styleId="45">
    <w:name w:val="标题 8 字符"/>
    <w:link w:val="10"/>
    <w:qFormat/>
    <w:uiPriority w:val="0"/>
    <w:rPr>
      <w:rFonts w:ascii="Arial" w:hAnsi="Arial" w:eastAsia="黑体"/>
      <w:kern w:val="2"/>
      <w:sz w:val="24"/>
      <w:szCs w:val="24"/>
    </w:rPr>
  </w:style>
  <w:style w:type="character" w:customStyle="1" w:styleId="46">
    <w:name w:val="标题 9 字符"/>
    <w:link w:val="11"/>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90">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60"/>
    <w:next w:val="60"/>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60"/>
    <w:qFormat/>
    <w:uiPriority w:val="0"/>
    <w:pPr>
      <w:spacing w:line="460" w:lineRule="exact"/>
      <w:ind w:left="0" w:firstLine="0"/>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9"/>
    <w:next w:val="60"/>
    <w:qFormat/>
    <w:uiPriority w:val="0"/>
    <w:pPr>
      <w:widowControl/>
      <w:numPr>
        <w:ilvl w:val="4"/>
      </w:numPr>
      <w:outlineLvl w:val="3"/>
    </w:pPr>
  </w:style>
  <w:style w:type="character" w:customStyle="1" w:styleId="98">
    <w:name w:val="Subtle Reference"/>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2"/>
    <w:semiHidden/>
    <w:qFormat/>
    <w:uiPriority w:val="0"/>
    <w:rPr>
      <w:rFonts w:ascii="宋体"/>
      <w:kern w:val="2"/>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60"/>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3">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60"/>
    <w:qFormat/>
    <w:uiPriority w:val="0"/>
    <w:pPr>
      <w:outlineLvl w:val="4"/>
    </w:pPr>
  </w:style>
  <w:style w:type="paragraph" w:customStyle="1" w:styleId="133">
    <w:name w:val="附录四级无标题条"/>
    <w:basedOn w:val="132"/>
    <w:next w:val="60"/>
    <w:qFormat/>
    <w:uiPriority w:val="0"/>
    <w:pPr>
      <w:outlineLvl w:val="5"/>
    </w:pPr>
  </w:style>
  <w:style w:type="paragraph" w:customStyle="1" w:styleId="134">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60"/>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60"/>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60"/>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wrap="around"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60"/>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66"/>
    <w:qFormat/>
    <w:uiPriority w:val="0"/>
    <w:pPr>
      <w:spacing w:before="0" w:beforeLines="0" w:after="0" w:afterLines="0"/>
      <w:outlineLvl w:val="9"/>
    </w:pPr>
    <w:rPr>
      <w:rFonts w:ascii="宋体" w:eastAsia="宋体"/>
    </w:rPr>
  </w:style>
  <w:style w:type="paragraph" w:customStyle="1" w:styleId="166">
    <w:name w:val="_二级条标题"/>
    <w:basedOn w:val="107"/>
    <w:next w:val="1"/>
    <w:qFormat/>
    <w:uiPriority w:val="0"/>
    <w:pPr>
      <w:spacing w:beforeLines="50" w:afterLines="50"/>
      <w:outlineLvl w:val="1"/>
    </w:pPr>
    <w:rPr>
      <w:rFonts w:hAnsi="黑体"/>
    </w:rPr>
  </w:style>
  <w:style w:type="paragraph" w:customStyle="1" w:styleId="167">
    <w:name w:val="标准文件_五级无标题"/>
    <w:basedOn w:val="106"/>
    <w:qFormat/>
    <w:uiPriority w:val="0"/>
    <w:pPr>
      <w:spacing w:before="0" w:beforeLines="0" w:after="0" w:afterLines="0"/>
      <w:outlineLvl w:val="9"/>
    </w:pPr>
    <w:rPr>
      <w:rFonts w:ascii="宋体" w:eastAsia="宋体"/>
    </w:rPr>
  </w:style>
  <w:style w:type="paragraph" w:customStyle="1" w:styleId="168">
    <w:name w:val="标准文件_三级无标题"/>
    <w:basedOn w:val="97"/>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1"/>
    <w:next w:val="60"/>
    <w:qFormat/>
    <w:uiPriority w:val="0"/>
    <w:rPr>
      <w:rFonts w:eastAsia="宋体"/>
    </w:rPr>
  </w:style>
  <w:style w:type="paragraph" w:customStyle="1" w:styleId="171">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Times New Roman"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style>
  <w:style w:type="paragraph" w:customStyle="1" w:styleId="193">
    <w:name w:val="标准文件_一级项2"/>
    <w:basedOn w:val="60"/>
    <w:qFormat/>
    <w:uiPriority w:val="0"/>
    <w:pPr>
      <w:numPr>
        <w:ilvl w:val="0"/>
        <w:numId w:val="31"/>
      </w:numPr>
      <w:spacing w:line="300" w:lineRule="exact"/>
      <w:ind w:firstLineChars="0"/>
    </w:p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3"/>
    <w:qFormat/>
    <w:uiPriority w:val="0"/>
    <w:pPr>
      <w:framePr w:w="3997" w:h="471" w:hRule="exact" w:hSpace="0" w:vSpace="181" w:wrap="around" w:vAnchor="page" w:hAnchor="page" w:x="1419" w:y="14097"/>
    </w:pPr>
  </w:style>
  <w:style w:type="paragraph" w:customStyle="1" w:styleId="198">
    <w:name w:val="其他实施日期"/>
    <w:basedOn w:val="157"/>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5"/>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5">
    <w:name w:val="样式1"/>
    <w:basedOn w:val="28"/>
    <w:qFormat/>
    <w:uiPriority w:val="0"/>
    <w:pPr>
      <w:spacing w:after="0" w:line="240" w:lineRule="auto"/>
      <w:ind w:firstLine="424" w:firstLineChars="202"/>
    </w:pPr>
    <w:rPr>
      <w:rFonts w:ascii="宋体" w:hAnsi="Times New Roman"/>
      <w:color w:val="auto"/>
      <w:kern w:val="0"/>
      <w:szCs w:val="20"/>
    </w:rPr>
  </w:style>
  <w:style w:type="paragraph" w:customStyle="1" w:styleId="236">
    <w:name w:val="标准书脚_奇数页"/>
    <w:qFormat/>
    <w:uiPriority w:val="0"/>
    <w:pPr>
      <w:spacing w:before="120"/>
      <w:jc w:val="right"/>
    </w:pPr>
    <w:rPr>
      <w:rFonts w:ascii="Times New Roman" w:hAnsi="Times New Roman" w:eastAsia="宋体" w:cs="Times New Roman"/>
      <w:sz w:val="18"/>
      <w:lang w:val="en-US" w:eastAsia="zh-CN" w:bidi="ar-SA"/>
    </w:rPr>
  </w:style>
  <w:style w:type="character" w:customStyle="1" w:styleId="237">
    <w:name w:val="页码1"/>
    <w:qFormat/>
    <w:uiPriority w:val="0"/>
    <w:rPr>
      <w:rFonts w:ascii="Times New Roman" w:hAnsi="Times New Roman" w:eastAsia="宋体"/>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greatwall/C:\Program%20Files%20(x86)\StandardEditor\template\&#34892;&#19994;&#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B09B132F3DB4A21AC416836D2BBE144"/>
        <w:style w:val=""/>
        <w:category>
          <w:name w:val="常规"/>
          <w:gallery w:val="placeholder"/>
        </w:category>
        <w:types>
          <w:type w:val="bbPlcHdr"/>
        </w:types>
        <w:behaviors>
          <w:behavior w:val="content"/>
        </w:behaviors>
        <w:description w:val=""/>
        <w:guid w:val="{6B544942-0BF3-49E1-90E7-1DCF8D4A75DB}"/>
      </w:docPartPr>
      <w:docPartBody>
        <w:p w14:paraId="4F596ED2">
          <w:pPr>
            <w:pStyle w:val="5"/>
            <w:rPr>
              <w:rFonts w:hint="eastAsia"/>
            </w:rPr>
          </w:pPr>
          <w:r>
            <w:rPr>
              <w:rStyle w:val="4"/>
              <w:rFonts w:hint="eastAsia"/>
            </w:rPr>
            <w:t>单击或点击此处输入文字。</w:t>
          </w:r>
        </w:p>
      </w:docPartBody>
    </w:docPart>
    <w:docPart>
      <w:docPartPr>
        <w:name w:val="A965C74DFEEE470EAC1E9923B6B190EB"/>
        <w:style w:val=""/>
        <w:category>
          <w:name w:val="常规"/>
          <w:gallery w:val="placeholder"/>
        </w:category>
        <w:types>
          <w:type w:val="bbPlcHdr"/>
        </w:types>
        <w:behaviors>
          <w:behavior w:val="content"/>
        </w:behaviors>
        <w:description w:val=""/>
        <w:guid w:val="{BD3E98A8-11E9-4322-8A67-D3C81C201574}"/>
      </w:docPartPr>
      <w:docPartBody>
        <w:p w14:paraId="4111B8D3">
          <w:pPr>
            <w:pStyle w:val="6"/>
            <w:rPr>
              <w:rFonts w:hint="eastAsia"/>
            </w:rPr>
          </w:pPr>
          <w:r>
            <w:rPr>
              <w:rStyle w:val="4"/>
              <w:rFonts w:hint="eastAsia"/>
            </w:rPr>
            <w:t>选择一项。</w:t>
          </w:r>
        </w:p>
      </w:docPartBody>
    </w:docPart>
    <w:docPart>
      <w:docPartPr>
        <w:name w:val="{48eb9d8d-e1f8-4611-81f3-1f228b7f2a0a}"/>
        <w:style w:val=""/>
        <w:category>
          <w:name w:val="常规"/>
          <w:gallery w:val="placeholder"/>
        </w:category>
        <w:types>
          <w:type w:val="bbPlcHdr"/>
        </w:types>
        <w:behaviors>
          <w:behavior w:val="content"/>
        </w:behaviors>
        <w:description w:val=""/>
        <w:guid w:val="{48eb9d8d-e1f8-4611-81f3-1f228b7f2a0a}"/>
      </w:docPartPr>
      <w:docPartBody>
        <w:p w14:paraId="0AF7FB1A">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62D"/>
    <w:rsid w:val="000B1E92"/>
    <w:rsid w:val="001268E9"/>
    <w:rsid w:val="0034639E"/>
    <w:rsid w:val="0039742F"/>
    <w:rsid w:val="006A0FA1"/>
    <w:rsid w:val="0081723D"/>
    <w:rsid w:val="009538BE"/>
    <w:rsid w:val="00A108C2"/>
    <w:rsid w:val="00C339D4"/>
    <w:rsid w:val="00EC1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5B09B132F3DB4A21AC416836D2BBE14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A965C74DFEEE470EAC1E9923B6B190E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FD73B52FF7DF4992A08ABE764325181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8FE12C-16EA-4F8F-A8A1-ED38DA65EEBC}">
  <ds:schemaRefs/>
</ds:datastoreItem>
</file>

<file path=docProps/app.xml><?xml version="1.0" encoding="utf-8"?>
<Properties xmlns="http://schemas.openxmlformats.org/officeDocument/2006/extended-properties" xmlns:vt="http://schemas.openxmlformats.org/officeDocument/2006/docPropsVTypes">
  <Template>行业标准.dotx</Template>
  <Pages>29</Pages>
  <Words>17903</Words>
  <Characters>19071</Characters>
  <Lines>176</Lines>
  <Paragraphs>49</Paragraphs>
  <TotalTime>1</TotalTime>
  <ScaleCrop>false</ScaleCrop>
  <LinksUpToDate>false</LinksUpToDate>
  <CharactersWithSpaces>19322</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2025-03-21T15:05:00Z</dcterms:created>
  <dc:creator>leon</dc:creator>
  <cp:lastModifiedBy>greatwall</cp:lastModifiedBy>
  <cp:lastPrinted>2021-02-02T16:18:00Z</cp:lastPrinted>
  <dcterms:modified xsi:type="dcterms:W3CDTF">2026-10-16T10:43:05Z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2052-12.1.2.24720</vt:lpwstr>
  </property>
  <property fmtid="{D5CDD505-2E9C-101B-9397-08002B2CF9AE}" pid="15" name="ICV">
    <vt:lpwstr>2174400235A76E5B398FD16AD3F6E6E0_43</vt:lpwstr>
  </property>
  <property fmtid="{D5CDD505-2E9C-101B-9397-08002B2CF9AE}" pid="16" name="KSOTemplateDocerSaveRecord">
    <vt:lpwstr>eyJoZGlkIjoiODE1ZjgzYWE2ZmJiNDRmNmVhNzYyN2JiODQ3N2FhMWYiLCJ1c2VySWQiOiIxMTY1Nzk5OTU1In0=</vt:lpwstr>
  </property>
</Properties>
</file>