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59D5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679AD61">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eastAsia="黑体"/>
                <w:sz w:val="21"/>
                <w:szCs w:val="21"/>
              </w:rPr>
              <w:t>ICS</w:t>
            </w:r>
            <w:r>
              <w:rPr>
                <w:rFonts w:ascii="黑体" w:hAnsi="黑体" w:eastAsia="黑体"/>
                <w:sz w:val="21"/>
                <w:szCs w:val="21"/>
              </w:rPr>
              <w:t xml:space="preserve">  </w:t>
            </w:r>
          </w:p>
        </w:tc>
        <w:tc>
          <w:tcPr>
            <w:tcW w:w="8855" w:type="dxa"/>
          </w:tcPr>
          <w:p w14:paraId="2165883B">
            <w:pPr>
              <w:pStyle w:val="19"/>
              <w:framePr w:wrap="notBeside" w:vAnchor="page" w:hAnchor="page" w:x="1372" w:y="568"/>
              <w:tabs>
                <w:tab w:val="clear" w:pos="4153"/>
                <w:tab w:val="clear" w:pos="8306"/>
              </w:tabs>
              <w:spacing w:line="240" w:lineRule="auto"/>
              <w:ind w:left="3"/>
              <w:jc w:val="both"/>
              <w:rPr>
                <w:rFonts w:ascii="黑体" w:hAnsi="黑体" w:eastAsia="黑体"/>
                <w:sz w:val="21"/>
                <w:szCs w:val="21"/>
              </w:rPr>
            </w:pPr>
            <w:bookmarkStart w:id="0" w:name="ICS"/>
            <w:r>
              <w:rPr>
                <w:rFonts w:hint="eastAsia" w:ascii="黑体" w:hAnsi="黑体" w:eastAsia="黑体"/>
                <w:sz w:val="21"/>
                <w:szCs w:val="21"/>
              </w:rPr>
              <w:t>13.100</w:t>
            </w:r>
            <w:bookmarkEnd w:id="0"/>
          </w:p>
        </w:tc>
      </w:tr>
      <w:tr w14:paraId="55C2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CF43F46">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eastAsia="黑体"/>
                <w:sz w:val="21"/>
                <w:szCs w:val="21"/>
              </w:rPr>
              <w:t xml:space="preserve">CCS </w:t>
            </w:r>
            <w:r>
              <w:rPr>
                <w:rFonts w:ascii="黑体" w:hAnsi="黑体" w:eastAsia="黑体"/>
                <w:sz w:val="21"/>
                <w:szCs w:val="21"/>
              </w:rPr>
              <w:t xml:space="preserve"> </w:t>
            </w:r>
          </w:p>
        </w:tc>
        <w:tc>
          <w:tcPr>
            <w:tcW w:w="8855" w:type="dxa"/>
          </w:tcPr>
          <w:p w14:paraId="4C596B57">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bookmarkStart w:id="1" w:name="CSDN"/>
            <w:r>
              <w:rPr>
                <w:rFonts w:hint="eastAsia" w:ascii="黑体" w:hAnsi="黑体" w:eastAsia="黑体"/>
                <w:sz w:val="21"/>
                <w:szCs w:val="21"/>
              </w:rPr>
              <w:t>E</w:t>
            </w:r>
            <w:r>
              <w:rPr>
                <w:rFonts w:ascii="黑体" w:hAnsi="黑体" w:eastAsia="黑体"/>
                <w:sz w:val="21"/>
                <w:szCs w:val="21"/>
              </w:rPr>
              <w:t xml:space="preserve"> 09</w:t>
            </w:r>
            <w:bookmarkEnd w:id="1"/>
          </w:p>
        </w:tc>
      </w:tr>
    </w:tbl>
    <w:tbl>
      <w:tblPr>
        <w:tblStyle w:val="28"/>
        <w:tblpPr w:leftFromText="181" w:rightFromText="181" w:horzAnchor="margin" w:tblpX="3857" w:tblpY="568"/>
        <w:tblW w:w="4990"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90"/>
      </w:tblGrid>
      <w:tr w14:paraId="24D038F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28" w:hRule="atLeast"/>
        </w:trPr>
        <w:tc>
          <w:tcPr>
            <w:tcW w:w="4990" w:type="dxa"/>
          </w:tcPr>
          <w:p w14:paraId="62980616">
            <w:pPr>
              <w:pStyle w:val="50"/>
              <w:framePr w:w="0" w:hRule="auto" w:wrap="auto" w:vAnchor="margin" w:hAnchor="text" w:xAlign="left" w:yAlign="inline"/>
              <w:ind w:firstLine="420"/>
            </w:pPr>
            <w:bookmarkStart w:id="2" w:name="c1"/>
            <w:bookmarkStart w:id="3" w:name="_Hlk26473981"/>
            <w:r>
              <w:rPr>
                <w:rFonts w:hint="eastAsia"/>
              </w:rPr>
              <w:t>AQ</w:t>
            </w:r>
            <w:bookmarkEnd w:id="2"/>
          </w:p>
        </w:tc>
      </w:tr>
    </w:tbl>
    <w:p w14:paraId="19FF3D54">
      <w:pPr>
        <w:pStyle w:val="51"/>
        <w:framePr w:w="9639" w:h="624" w:hRule="exact" w:hSpace="181" w:vSpace="181" w:wrap="around" w:hAnchor="page" w:x="1305" w:y="2269"/>
        <w:rPr>
          <w:rFonts w:ascii="黑体" w:hAnsi="黑体" w:eastAsia="黑体"/>
          <w:b w:val="0"/>
          <w:bCs w:val="0"/>
          <w:w w:val="100"/>
          <w:sz w:val="48"/>
          <w:szCs w:val="48"/>
        </w:rPr>
      </w:pPr>
      <w:r>
        <w:rPr>
          <w:rFonts w:hint="eastAsia" w:ascii="黑体" w:hAnsi="黑体" w:eastAsia="黑体"/>
          <w:b w:val="0"/>
          <w:bCs w:val="0"/>
          <w:w w:val="100"/>
          <w:sz w:val="48"/>
          <w:szCs w:val="48"/>
        </w:rPr>
        <w:t>中华人民共和国</w:t>
      </w:r>
      <w:bookmarkStart w:id="4" w:name="c2"/>
      <w:r>
        <w:rPr>
          <w:rFonts w:hint="eastAsia" w:ascii="黑体" w:eastAsia="黑体"/>
          <w:b w:val="0"/>
          <w:bCs w:val="0"/>
          <w:w w:val="100"/>
          <w:sz w:val="48"/>
        </w:rPr>
        <w:t>安全生产</w:t>
      </w:r>
      <w:bookmarkEnd w:id="4"/>
      <w:r>
        <w:rPr>
          <w:rFonts w:hint="eastAsia" w:ascii="黑体" w:hAnsi="黑体" w:eastAsia="黑体"/>
          <w:b w:val="0"/>
          <w:bCs w:val="0"/>
          <w:w w:val="100"/>
          <w:sz w:val="48"/>
          <w:szCs w:val="48"/>
        </w:rPr>
        <w:t>行业标准</w:t>
      </w:r>
    </w:p>
    <w:bookmarkEnd w:id="3"/>
    <w:p w14:paraId="625C24C9">
      <w:pPr>
        <w:pStyle w:val="196"/>
        <w:framePr w:wrap="around"/>
        <w:rPr>
          <w:lang w:val="fr-FR"/>
        </w:rPr>
      </w:pPr>
      <w:bookmarkStart w:id="5" w:name="文字1"/>
      <w:r>
        <w:rPr>
          <w:rFonts w:hint="eastAsia"/>
        </w:rPr>
        <w:t>AQ</w:t>
      </w:r>
      <w:bookmarkEnd w:id="5"/>
      <w:r>
        <w:rPr>
          <w:lang w:val="fr-FR"/>
        </w:rPr>
        <w:t xml:space="preserve"> </w:t>
      </w:r>
      <w:bookmarkStart w:id="6" w:name="NSTD_CODE_F"/>
      <w:r>
        <w:rPr>
          <w:lang w:val="fr-FR"/>
        </w:rPr>
        <w:t>XXXX</w:t>
      </w:r>
      <w:bookmarkEnd w:id="6"/>
      <w:r>
        <w:rPr>
          <w:rFonts w:hAnsi="黑体"/>
          <w:lang w:val="fr-FR"/>
        </w:rPr>
        <w:t>—</w:t>
      </w:r>
      <w:bookmarkStart w:id="7" w:name="NSTD_CODE_B"/>
      <w:r>
        <w:t>20</w:t>
      </w:r>
      <w:r>
        <w:rPr>
          <w:lang w:val="fr-FR"/>
        </w:rPr>
        <w:t>XX</w:t>
      </w:r>
      <w:bookmarkEnd w:id="7"/>
    </w:p>
    <w:p w14:paraId="21747590">
      <w:pPr>
        <w:pStyle w:val="197"/>
        <w:framePr w:wrap="around"/>
        <w:rPr>
          <w:rFonts w:hAnsi="黑体"/>
          <w:lang w:val="fr-FR"/>
        </w:rPr>
      </w:pPr>
      <w:bookmarkStart w:id="8" w:name="OSTD_CODE"/>
      <w:r>
        <w:rPr>
          <w:rFonts w:hAnsi="黑体"/>
        </w:rPr>
        <w:t>     </w:t>
      </w:r>
      <w:bookmarkEnd w:id="8"/>
    </w:p>
    <w:p w14:paraId="0A35328D">
      <w:pPr>
        <w:spacing w:line="240" w:lineRule="auto"/>
        <w:rPr>
          <w:rFonts w:ascii="黑体" w:hAnsi="黑体" w:eastAsia="黑体"/>
          <w:kern w:val="0"/>
          <w:sz w:val="10"/>
          <w:szCs w:val="10"/>
          <w:lang w:val="fr-FR"/>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7C44B022">
      <w:pPr>
        <w:pStyle w:val="51"/>
        <w:framePr w:w="9639" w:h="6976" w:hRule="exact" w:hSpace="0" w:vSpace="0" w:wrap="around" w:hAnchor="page" w:y="6408"/>
        <w:jc w:val="center"/>
        <w:rPr>
          <w:rFonts w:ascii="黑体" w:hAnsi="黑体" w:eastAsia="黑体"/>
          <w:b w:val="0"/>
          <w:bCs w:val="0"/>
          <w:w w:val="100"/>
          <w:lang w:val="fr-FR"/>
        </w:rPr>
      </w:pPr>
    </w:p>
    <w:p w14:paraId="271C960F">
      <w:pPr>
        <w:pStyle w:val="198"/>
        <w:framePr w:h="6974" w:hRule="exact" w:wrap="around" w:x="1419" w:anchorLock="1"/>
      </w:pPr>
      <w:bookmarkStart w:id="9" w:name="CSTD_NAME"/>
      <w:r>
        <w:rPr>
          <w:rFonts w:hint="eastAsia"/>
        </w:rPr>
        <w:t>陆上石油天然气企业安全现状评价导则</w:t>
      </w:r>
      <w:bookmarkEnd w:id="9"/>
    </w:p>
    <w:p w14:paraId="739E1C0E">
      <w:pPr>
        <w:framePr w:w="9639" w:h="6974" w:hRule="exact" w:wrap="around" w:vAnchor="page" w:hAnchor="page" w:x="1419" w:y="6408" w:anchorLock="1"/>
        <w:ind w:left="-1418"/>
      </w:pPr>
    </w:p>
    <w:p w14:paraId="45271DD6">
      <w:pPr>
        <w:pStyle w:val="126"/>
        <w:framePr w:w="9639" w:h="6974" w:hRule="exact" w:wrap="around" w:vAnchor="page" w:hAnchor="page" w:x="1419" w:y="6408" w:anchorLock="1"/>
        <w:textAlignment w:val="bottom"/>
        <w:rPr>
          <w:rFonts w:eastAsia="黑体"/>
          <w:szCs w:val="28"/>
        </w:rPr>
      </w:pPr>
      <w:bookmarkStart w:id="10" w:name="ESTD_NAME"/>
      <w:r>
        <w:rPr>
          <w:rFonts w:hint="eastAsia" w:eastAsia="黑体"/>
          <w:szCs w:val="28"/>
        </w:rPr>
        <w:t>Guidelines for safety status assessment of onshore oil and gas enterprises</w:t>
      </w:r>
      <w:bookmarkEnd w:id="10"/>
    </w:p>
    <w:p w14:paraId="211EE5FC">
      <w:pPr>
        <w:framePr w:w="9639" w:h="6974" w:hRule="exact" w:wrap="around" w:vAnchor="page" w:hAnchor="page" w:x="1419" w:y="6408" w:anchorLock="1"/>
        <w:spacing w:line="760" w:lineRule="exact"/>
        <w:ind w:left="-1418"/>
      </w:pPr>
    </w:p>
    <w:p w14:paraId="41C8C9B0">
      <w:pPr>
        <w:pStyle w:val="126"/>
        <w:framePr w:w="9639" w:h="6974" w:hRule="exact" w:wrap="around" w:vAnchor="page" w:hAnchor="page" w:x="1419" w:y="6408" w:anchorLock="1"/>
        <w:textAlignment w:val="bottom"/>
        <w:rPr>
          <w:rFonts w:eastAsia="黑体"/>
          <w:szCs w:val="28"/>
        </w:rPr>
      </w:pPr>
      <w:bookmarkStart w:id="11" w:name="IN_STD_CODE"/>
      <w:r>
        <w:rPr>
          <w:rFonts w:hint="eastAsia" w:eastAsia="黑体"/>
          <w:szCs w:val="28"/>
        </w:rPr>
        <w:t xml:space="preserve"> </w:t>
      </w:r>
      <w:bookmarkEnd w:id="11"/>
    </w:p>
    <w:p w14:paraId="5ACBC983">
      <w:pPr>
        <w:pStyle w:val="126"/>
        <w:framePr w:w="9639" w:h="6974" w:hRule="exact" w:wrap="around" w:vAnchor="page" w:hAnchor="page" w:x="1419" w:y="6408" w:anchorLock="1"/>
        <w:spacing w:before="440" w:after="160"/>
        <w:textAlignment w:val="bottom"/>
        <w:rPr>
          <w:sz w:val="24"/>
          <w:szCs w:val="28"/>
        </w:rPr>
      </w:pPr>
    </w:p>
    <w:p w14:paraId="12462484">
      <w:pPr>
        <w:pStyle w:val="126"/>
        <w:framePr w:w="9639" w:h="6974" w:hRule="exact" w:wrap="around" w:vAnchor="page" w:hAnchor="page" w:x="1419" w:y="6408" w:anchorLock="1"/>
        <w:spacing w:before="180" w:line="240" w:lineRule="atLeast"/>
        <w:textAlignment w:val="bottom"/>
        <w:rPr>
          <w:sz w:val="21"/>
          <w:szCs w:val="28"/>
        </w:rPr>
      </w:pPr>
      <w:bookmarkStart w:id="12" w:name="CMPLSH_DATE"/>
      <w:r>
        <w:rPr>
          <w:sz w:val="21"/>
          <w:szCs w:val="28"/>
        </w:rPr>
        <w:t> </w:t>
      </w:r>
      <w:bookmarkEnd w:id="12"/>
    </w:p>
    <w:p w14:paraId="0698AE25">
      <w:pPr>
        <w:pStyle w:val="126"/>
        <w:framePr w:w="9639" w:h="6974" w:hRule="exact" w:wrap="around" w:vAnchor="page" w:hAnchor="page" w:x="1419" w:y="6408" w:anchorLock="1"/>
        <w:spacing w:before="720" w:beforeLines="300" w:after="72" w:afterLines="30" w:line="240" w:lineRule="auto"/>
        <w:textAlignment w:val="bottom"/>
        <w:rPr>
          <w:b/>
          <w:sz w:val="21"/>
          <w:szCs w:val="28"/>
        </w:rPr>
      </w:pPr>
    </w:p>
    <w:p w14:paraId="47AD075A">
      <w:pPr>
        <w:pStyle w:val="194"/>
        <w:framePr w:wrap="around" w:y="14176"/>
      </w:pPr>
      <w:bookmarkStart w:id="13" w:name="PLSH_DATE_Y"/>
      <w:r>
        <w:rPr>
          <w:rFonts w:ascii="黑体"/>
        </w:rPr>
        <w:t>XXXX</w:t>
      </w:r>
      <w:bookmarkEnd w:id="13"/>
      <w:r>
        <w:t xml:space="preserve"> </w:t>
      </w:r>
      <w:r>
        <w:rPr>
          <w:rFonts w:ascii="黑体"/>
        </w:rPr>
        <w:t>-</w:t>
      </w:r>
      <w:r>
        <w:t xml:space="preserve"> </w:t>
      </w:r>
      <w:bookmarkStart w:id="14" w:name="PLSH_DATE_M"/>
      <w:r>
        <w:rPr>
          <w:rFonts w:ascii="黑体"/>
        </w:rPr>
        <w:t>XX</w:t>
      </w:r>
      <w:bookmarkEnd w:id="14"/>
      <w:r>
        <w:t xml:space="preserve"> </w:t>
      </w:r>
      <w:r>
        <w:rPr>
          <w:rFonts w:ascii="黑体"/>
        </w:rPr>
        <w:t>-</w:t>
      </w:r>
      <w:r>
        <w:t xml:space="preserve"> </w:t>
      </w:r>
      <w:bookmarkStart w:id="15" w:name="PLSH_DATE_D"/>
      <w:r>
        <w:rPr>
          <w:rFonts w:ascii="黑体"/>
        </w:rPr>
        <w:t>XX</w:t>
      </w:r>
      <w:bookmarkEnd w:id="15"/>
      <w:r>
        <w:rPr>
          <w:rFonts w:hint="eastAsia"/>
        </w:rPr>
        <w:t>发布</w:t>
      </w:r>
    </w:p>
    <w:p w14:paraId="7DF84461">
      <w:pPr>
        <w:pStyle w:val="195"/>
        <w:framePr w:wrap="around" w:y="14176"/>
      </w:pPr>
      <w:bookmarkStart w:id="16" w:name="CROT_DATE_Y"/>
      <w:r>
        <w:rPr>
          <w:rFonts w:ascii="黑体"/>
        </w:rPr>
        <w:t>XXXX</w:t>
      </w:r>
      <w:bookmarkEnd w:id="16"/>
      <w:r>
        <w:t xml:space="preserve"> </w:t>
      </w:r>
      <w:r>
        <w:rPr>
          <w:rFonts w:ascii="黑体"/>
        </w:rPr>
        <w:t>-</w:t>
      </w:r>
      <w:r>
        <w:t xml:space="preserve"> </w:t>
      </w:r>
      <w:bookmarkStart w:id="17" w:name="CROT_DATE_M"/>
      <w:r>
        <w:rPr>
          <w:rFonts w:ascii="黑体"/>
        </w:rPr>
        <w:t>XX</w:t>
      </w:r>
      <w:bookmarkEnd w:id="17"/>
      <w:r>
        <w:t xml:space="preserve"> </w:t>
      </w:r>
      <w:r>
        <w:rPr>
          <w:rFonts w:ascii="黑体"/>
        </w:rPr>
        <w:t>-</w:t>
      </w:r>
      <w:r>
        <w:t xml:space="preserve"> </w:t>
      </w:r>
      <w:bookmarkStart w:id="18" w:name="CROT_DATE_D"/>
      <w:r>
        <w:rPr>
          <w:rFonts w:ascii="黑体"/>
        </w:rPr>
        <w:t>XX</w:t>
      </w:r>
      <w:bookmarkEnd w:id="18"/>
      <w:r>
        <w:rPr>
          <w:rFonts w:hint="eastAsia"/>
        </w:rPr>
        <w:t>实施</w:t>
      </w:r>
    </w:p>
    <w:p w14:paraId="3E4CFF87">
      <w:pPr>
        <w:pStyle w:val="152"/>
        <w:framePr w:h="584" w:hRule="exact" w:hSpace="181" w:vSpace="181" w:wrap="around" w:y="14800"/>
        <w:rPr>
          <w:rFonts w:hAnsi="黑体"/>
        </w:rPr>
      </w:pPr>
      <w:bookmarkStart w:id="19" w:name="fm"/>
      <w:r>
        <w:rPr>
          <w:rFonts w:hint="eastAsia" w:hAnsi="黑体"/>
          <w:w w:val="100"/>
          <w:sz w:val="28"/>
        </w:rPr>
        <w:t>中华人民共和国应急管理部</w:t>
      </w:r>
      <w:bookmarkEnd w:id="19"/>
      <w:r>
        <w:rPr>
          <w:rFonts w:ascii="Times New Roman"/>
          <w:w w:val="100"/>
          <w:sz w:val="28"/>
          <w:szCs w:val="28"/>
        </w:rPr>
        <w:t>  </w:t>
      </w:r>
      <w:r>
        <w:rPr>
          <w:rStyle w:val="230"/>
          <w:rFonts w:hint="eastAsia" w:hAnsi="黑体"/>
          <w:position w:val="0"/>
        </w:rPr>
        <w:t>发</w:t>
      </w:r>
      <w:r>
        <w:rPr>
          <w:rStyle w:val="230"/>
          <w:rFonts w:hint="eastAsia" w:hAnsi="黑体"/>
          <w:spacing w:val="0"/>
          <w:position w:val="0"/>
        </w:rPr>
        <w:t>布</w:t>
      </w:r>
    </w:p>
    <w:p w14:paraId="0A8449FB">
      <w:pPr>
        <w:rPr>
          <w:rFonts w:ascii="宋体" w:hAnsi="宋体"/>
          <w:sz w:val="28"/>
          <w:szCs w:val="28"/>
        </w:rPr>
        <w:sectPr>
          <w:headerReference r:id="rId6" w:type="first"/>
          <w:footerReference r:id="rId8" w:type="first"/>
          <w:headerReference r:id="rId5" w:type="even"/>
          <w:footerReference r:id="rId7" w:type="even"/>
          <w:type w:val="continuous"/>
          <w:pgSz w:w="11906" w:h="16838"/>
          <w:pgMar w:top="567" w:right="1134" w:bottom="1021" w:left="1134" w:header="1418" w:footer="1134" w:gutter="284"/>
          <w:pgNumType w:fmt="upperRoman"/>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83D619E">
      <w:pPr>
        <w:pStyle w:val="92"/>
        <w:spacing w:after="360"/>
      </w:pPr>
      <w:bookmarkStart w:id="20" w:name="BookMark1"/>
      <w:bookmarkStart w:id="21" w:name="_Toc31733"/>
      <w:bookmarkStart w:id="22" w:name="_Toc30164"/>
      <w:bookmarkStart w:id="23" w:name="_Toc19106"/>
      <w:bookmarkStart w:id="24" w:name="_Toc3195"/>
      <w:bookmarkStart w:id="25" w:name="_Toc28977"/>
      <w:r>
        <w:rPr>
          <w:rFonts w:hint="eastAsia"/>
        </w:rPr>
        <w:t>目   次</w:t>
      </w:r>
      <w:r>
        <w:rPr>
          <w:rFonts w:hint="eastAsia"/>
        </w:rPr>
        <w:fldChar w:fldCharType="begin"/>
      </w:r>
      <w:r>
        <w:rPr>
          <w:rFonts w:hint="eastAsia"/>
        </w:rPr>
        <w:instrText xml:space="preserve">TOC \o "1-1" \t "标准文件_一级条标题,2,标准文件_二级条标题,3,标准文件_附录一级条标题,2,标准文件_附录二级条标题,3," \h</w:instrText>
      </w:r>
      <w:r>
        <w:rPr>
          <w:rFonts w:hint="eastAsia"/>
        </w:rPr>
        <w:fldChar w:fldCharType="separate"/>
      </w:r>
    </w:p>
    <w:p w14:paraId="7E678F86">
      <w:pPr>
        <w:pStyle w:val="20"/>
        <w:tabs>
          <w:tab w:val="right" w:leader="dot" w:pos="9354"/>
        </w:tabs>
      </w:pPr>
      <w:r>
        <w:fldChar w:fldCharType="begin"/>
      </w:r>
      <w:r>
        <w:instrText xml:space="preserve"> HYPERLINK \l "_Toc19698" </w:instrText>
      </w:r>
      <w:r>
        <w:fldChar w:fldCharType="separate"/>
      </w:r>
      <w:r>
        <w:rPr>
          <w:rFonts w:hint="eastAsia"/>
        </w:rPr>
        <w:t>前言</w:t>
      </w:r>
      <w:r>
        <w:tab/>
      </w:r>
      <w:r>
        <w:fldChar w:fldCharType="begin"/>
      </w:r>
      <w:r>
        <w:instrText xml:space="preserve"> PAGEREF _Toc19698 \h </w:instrText>
      </w:r>
      <w:r>
        <w:fldChar w:fldCharType="separate"/>
      </w:r>
      <w:r>
        <w:t>III</w:t>
      </w:r>
      <w:r>
        <w:fldChar w:fldCharType="end"/>
      </w:r>
      <w:r>
        <w:fldChar w:fldCharType="end"/>
      </w:r>
    </w:p>
    <w:p w14:paraId="5180EC67">
      <w:pPr>
        <w:pStyle w:val="20"/>
        <w:tabs>
          <w:tab w:val="right" w:leader="dot" w:pos="9354"/>
        </w:tabs>
      </w:pPr>
      <w:r>
        <w:fldChar w:fldCharType="begin"/>
      </w:r>
      <w:r>
        <w:instrText xml:space="preserve"> HYPERLINK \l "_Toc22351" </w:instrText>
      </w:r>
      <w:r>
        <w:fldChar w:fldCharType="separate"/>
      </w:r>
      <w:r>
        <w:rPr>
          <w:rFonts w:hint="eastAsia" w:ascii="黑体" w:eastAsia="黑体"/>
        </w:rPr>
        <w:t xml:space="preserve">1 </w:t>
      </w:r>
      <w:r>
        <w:rPr>
          <w:rFonts w:hint="eastAsia"/>
        </w:rPr>
        <w:t>范围</w:t>
      </w:r>
      <w:r>
        <w:tab/>
      </w:r>
      <w:r>
        <w:fldChar w:fldCharType="begin"/>
      </w:r>
      <w:r>
        <w:instrText xml:space="preserve"> PAGEREF _Toc22351 \h </w:instrText>
      </w:r>
      <w:r>
        <w:fldChar w:fldCharType="separate"/>
      </w:r>
      <w:r>
        <w:t>1</w:t>
      </w:r>
      <w:r>
        <w:fldChar w:fldCharType="end"/>
      </w:r>
      <w:r>
        <w:fldChar w:fldCharType="end"/>
      </w:r>
    </w:p>
    <w:p w14:paraId="4A4B6BF5">
      <w:pPr>
        <w:pStyle w:val="20"/>
        <w:tabs>
          <w:tab w:val="right" w:leader="dot" w:pos="9354"/>
        </w:tabs>
      </w:pPr>
      <w:r>
        <w:fldChar w:fldCharType="begin"/>
      </w:r>
      <w:r>
        <w:instrText xml:space="preserve"> HYPERLINK \l "_Toc19589" </w:instrText>
      </w:r>
      <w:r>
        <w:fldChar w:fldCharType="separate"/>
      </w:r>
      <w:r>
        <w:rPr>
          <w:rFonts w:hint="eastAsia" w:ascii="黑体" w:eastAsia="黑体"/>
        </w:rPr>
        <w:t xml:space="preserve">2 </w:t>
      </w:r>
      <w:r>
        <w:rPr>
          <w:rFonts w:hint="eastAsia"/>
        </w:rPr>
        <w:t>规范性引用文件</w:t>
      </w:r>
      <w:r>
        <w:tab/>
      </w:r>
      <w:r>
        <w:fldChar w:fldCharType="begin"/>
      </w:r>
      <w:r>
        <w:instrText xml:space="preserve"> PAGEREF _Toc19589 \h </w:instrText>
      </w:r>
      <w:r>
        <w:fldChar w:fldCharType="separate"/>
      </w:r>
      <w:r>
        <w:t>1</w:t>
      </w:r>
      <w:r>
        <w:fldChar w:fldCharType="end"/>
      </w:r>
      <w:r>
        <w:fldChar w:fldCharType="end"/>
      </w:r>
    </w:p>
    <w:p w14:paraId="5A822DD1">
      <w:pPr>
        <w:pStyle w:val="20"/>
        <w:tabs>
          <w:tab w:val="right" w:leader="dot" w:pos="9354"/>
        </w:tabs>
      </w:pPr>
      <w:r>
        <w:fldChar w:fldCharType="begin"/>
      </w:r>
      <w:r>
        <w:instrText xml:space="preserve"> HYPERLINK \l "_Toc25261" </w:instrText>
      </w:r>
      <w:r>
        <w:fldChar w:fldCharType="separate"/>
      </w:r>
      <w:r>
        <w:rPr>
          <w:rFonts w:hint="eastAsia" w:ascii="黑体" w:eastAsia="黑体"/>
        </w:rPr>
        <w:t xml:space="preserve">3 </w:t>
      </w:r>
      <w:r>
        <w:rPr>
          <w:rFonts w:hint="eastAsia"/>
        </w:rPr>
        <w:t>术语和定义</w:t>
      </w:r>
      <w:r>
        <w:tab/>
      </w:r>
      <w:r>
        <w:fldChar w:fldCharType="begin"/>
      </w:r>
      <w:r>
        <w:instrText xml:space="preserve"> PAGEREF _Toc25261 \h </w:instrText>
      </w:r>
      <w:r>
        <w:fldChar w:fldCharType="separate"/>
      </w:r>
      <w:r>
        <w:t>1</w:t>
      </w:r>
      <w:r>
        <w:fldChar w:fldCharType="end"/>
      </w:r>
      <w:r>
        <w:fldChar w:fldCharType="end"/>
      </w:r>
    </w:p>
    <w:p w14:paraId="6278F9F0">
      <w:pPr>
        <w:pStyle w:val="20"/>
        <w:tabs>
          <w:tab w:val="right" w:leader="dot" w:pos="9354"/>
        </w:tabs>
      </w:pPr>
      <w:r>
        <w:fldChar w:fldCharType="begin"/>
      </w:r>
      <w:r>
        <w:instrText xml:space="preserve"> HYPERLINK \l "_Toc26315" </w:instrText>
      </w:r>
      <w:r>
        <w:fldChar w:fldCharType="separate"/>
      </w:r>
      <w:r>
        <w:rPr>
          <w:rFonts w:hint="eastAsia" w:ascii="黑体" w:eastAsia="黑体"/>
        </w:rPr>
        <w:t xml:space="preserve">4 </w:t>
      </w:r>
      <w:r>
        <w:rPr>
          <w:rFonts w:hint="eastAsia"/>
        </w:rPr>
        <w:t>总体要求</w:t>
      </w:r>
      <w:r>
        <w:tab/>
      </w:r>
      <w:r>
        <w:fldChar w:fldCharType="begin"/>
      </w:r>
      <w:r>
        <w:instrText xml:space="preserve"> PAGEREF _Toc26315 \h </w:instrText>
      </w:r>
      <w:r>
        <w:fldChar w:fldCharType="separate"/>
      </w:r>
      <w:r>
        <w:t>1</w:t>
      </w:r>
      <w:r>
        <w:fldChar w:fldCharType="end"/>
      </w:r>
      <w:r>
        <w:fldChar w:fldCharType="end"/>
      </w:r>
    </w:p>
    <w:p w14:paraId="0F35FE5D">
      <w:pPr>
        <w:pStyle w:val="20"/>
        <w:tabs>
          <w:tab w:val="right" w:leader="dot" w:pos="9354"/>
        </w:tabs>
      </w:pPr>
      <w:r>
        <w:fldChar w:fldCharType="begin"/>
      </w:r>
      <w:r>
        <w:instrText xml:space="preserve"> HYPERLINK \l "_Toc20194" </w:instrText>
      </w:r>
      <w:r>
        <w:fldChar w:fldCharType="separate"/>
      </w:r>
      <w:r>
        <w:rPr>
          <w:rFonts w:hint="eastAsia" w:ascii="黑体" w:eastAsia="黑体"/>
        </w:rPr>
        <w:t xml:space="preserve">5 </w:t>
      </w:r>
      <w:r>
        <w:rPr>
          <w:rFonts w:hint="eastAsia"/>
        </w:rPr>
        <w:t>评价概述</w:t>
      </w:r>
      <w:r>
        <w:tab/>
      </w:r>
      <w:r>
        <w:fldChar w:fldCharType="begin"/>
      </w:r>
      <w:r>
        <w:instrText xml:space="preserve"> PAGEREF _Toc20194 \h </w:instrText>
      </w:r>
      <w:r>
        <w:fldChar w:fldCharType="separate"/>
      </w:r>
      <w:r>
        <w:t>1</w:t>
      </w:r>
      <w:r>
        <w:fldChar w:fldCharType="end"/>
      </w:r>
      <w:r>
        <w:fldChar w:fldCharType="end"/>
      </w:r>
    </w:p>
    <w:p w14:paraId="0DD775EA">
      <w:pPr>
        <w:pStyle w:val="25"/>
        <w:tabs>
          <w:tab w:val="right" w:leader="dot" w:pos="9354"/>
          <w:tab w:val="clear" w:pos="9344"/>
        </w:tabs>
      </w:pPr>
      <w:r>
        <w:fldChar w:fldCharType="begin"/>
      </w:r>
      <w:r>
        <w:instrText xml:space="preserve"> HYPERLINK \l "_Toc8373"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5.1 </w:t>
      </w:r>
      <w:r>
        <w:rPr>
          <w:rFonts w:hint="eastAsia"/>
        </w:rPr>
        <w:t>评价目的</w:t>
      </w:r>
      <w:r>
        <w:tab/>
      </w:r>
      <w:r>
        <w:fldChar w:fldCharType="begin"/>
      </w:r>
      <w:r>
        <w:instrText xml:space="preserve"> PAGEREF _Toc8373 \h </w:instrText>
      </w:r>
      <w:r>
        <w:fldChar w:fldCharType="separate"/>
      </w:r>
      <w:r>
        <w:t>1</w:t>
      </w:r>
      <w:r>
        <w:fldChar w:fldCharType="end"/>
      </w:r>
      <w:r>
        <w:fldChar w:fldCharType="end"/>
      </w:r>
    </w:p>
    <w:p w14:paraId="7AE0B17F">
      <w:pPr>
        <w:pStyle w:val="25"/>
        <w:tabs>
          <w:tab w:val="right" w:leader="dot" w:pos="9354"/>
          <w:tab w:val="clear" w:pos="9344"/>
        </w:tabs>
      </w:pPr>
      <w:r>
        <w:fldChar w:fldCharType="begin"/>
      </w:r>
      <w:r>
        <w:instrText xml:space="preserve"> HYPERLINK \l "_Toc5799"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5.2 </w:t>
      </w:r>
      <w:r>
        <w:rPr>
          <w:rFonts w:hint="eastAsia"/>
        </w:rPr>
        <w:t>评价范围</w:t>
      </w:r>
      <w:r>
        <w:tab/>
      </w:r>
      <w:r>
        <w:fldChar w:fldCharType="begin"/>
      </w:r>
      <w:r>
        <w:instrText xml:space="preserve"> PAGEREF _Toc5799 \h </w:instrText>
      </w:r>
      <w:r>
        <w:fldChar w:fldCharType="separate"/>
      </w:r>
      <w:r>
        <w:t>1</w:t>
      </w:r>
      <w:r>
        <w:fldChar w:fldCharType="end"/>
      </w:r>
      <w:r>
        <w:fldChar w:fldCharType="end"/>
      </w:r>
    </w:p>
    <w:p w14:paraId="6C1106AF">
      <w:pPr>
        <w:pStyle w:val="25"/>
        <w:tabs>
          <w:tab w:val="right" w:leader="dot" w:pos="9354"/>
          <w:tab w:val="clear" w:pos="9344"/>
        </w:tabs>
      </w:pPr>
      <w:r>
        <w:fldChar w:fldCharType="begin"/>
      </w:r>
      <w:r>
        <w:instrText xml:space="preserve"> HYPERLINK \l "_Toc5503"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5.3 </w:t>
      </w:r>
      <w:r>
        <w:rPr>
          <w:rFonts w:hint="eastAsia"/>
        </w:rPr>
        <w:t>评价依据</w:t>
      </w:r>
      <w:r>
        <w:tab/>
      </w:r>
      <w:r>
        <w:fldChar w:fldCharType="begin"/>
      </w:r>
      <w:r>
        <w:instrText xml:space="preserve"> PAGEREF _Toc5503 \h </w:instrText>
      </w:r>
      <w:r>
        <w:fldChar w:fldCharType="separate"/>
      </w:r>
      <w:r>
        <w:t>1</w:t>
      </w:r>
      <w:r>
        <w:fldChar w:fldCharType="end"/>
      </w:r>
      <w:r>
        <w:fldChar w:fldCharType="end"/>
      </w:r>
    </w:p>
    <w:p w14:paraId="09F51169">
      <w:pPr>
        <w:pStyle w:val="25"/>
        <w:tabs>
          <w:tab w:val="right" w:leader="dot" w:pos="9354"/>
          <w:tab w:val="clear" w:pos="9344"/>
        </w:tabs>
      </w:pPr>
      <w:r>
        <w:fldChar w:fldCharType="begin"/>
      </w:r>
      <w:r>
        <w:instrText xml:space="preserve"> HYPERLINK \l "_Toc20002"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5.4 </w:t>
      </w:r>
      <w:r>
        <w:rPr>
          <w:rFonts w:hint="eastAsia"/>
        </w:rPr>
        <w:t>评价程序</w:t>
      </w:r>
      <w:r>
        <w:tab/>
      </w:r>
      <w:r>
        <w:fldChar w:fldCharType="begin"/>
      </w:r>
      <w:r>
        <w:instrText xml:space="preserve"> PAGEREF _Toc20002 \h </w:instrText>
      </w:r>
      <w:r>
        <w:fldChar w:fldCharType="separate"/>
      </w:r>
      <w:r>
        <w:t>2</w:t>
      </w:r>
      <w:r>
        <w:fldChar w:fldCharType="end"/>
      </w:r>
      <w:r>
        <w:fldChar w:fldCharType="end"/>
      </w:r>
    </w:p>
    <w:p w14:paraId="5F2C8061">
      <w:pPr>
        <w:pStyle w:val="20"/>
        <w:tabs>
          <w:tab w:val="right" w:leader="dot" w:pos="9354"/>
        </w:tabs>
      </w:pPr>
      <w:r>
        <w:fldChar w:fldCharType="begin"/>
      </w:r>
      <w:r>
        <w:instrText xml:space="preserve"> HYPERLINK \l "_Toc16165" </w:instrText>
      </w:r>
      <w:r>
        <w:fldChar w:fldCharType="separate"/>
      </w:r>
      <w:r>
        <w:rPr>
          <w:rFonts w:hint="eastAsia" w:ascii="黑体" w:eastAsia="黑体"/>
        </w:rPr>
        <w:t xml:space="preserve">6 </w:t>
      </w:r>
      <w:r>
        <w:rPr>
          <w:rFonts w:hint="eastAsia"/>
        </w:rPr>
        <w:t>企业概况</w:t>
      </w:r>
      <w:r>
        <w:tab/>
      </w:r>
      <w:r>
        <w:fldChar w:fldCharType="begin"/>
      </w:r>
      <w:r>
        <w:instrText xml:space="preserve"> PAGEREF _Toc16165 \h </w:instrText>
      </w:r>
      <w:r>
        <w:fldChar w:fldCharType="separate"/>
      </w:r>
      <w:r>
        <w:t>2</w:t>
      </w:r>
      <w:r>
        <w:fldChar w:fldCharType="end"/>
      </w:r>
      <w:r>
        <w:fldChar w:fldCharType="end"/>
      </w:r>
    </w:p>
    <w:p w14:paraId="4205D85E">
      <w:pPr>
        <w:pStyle w:val="25"/>
        <w:tabs>
          <w:tab w:val="right" w:leader="dot" w:pos="9354"/>
          <w:tab w:val="clear" w:pos="9344"/>
        </w:tabs>
      </w:pPr>
      <w:r>
        <w:fldChar w:fldCharType="begin"/>
      </w:r>
      <w:r>
        <w:instrText xml:space="preserve"> HYPERLINK \l "_Toc11270"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6.1 </w:t>
      </w:r>
      <w:r>
        <w:rPr>
          <w:rFonts w:hint="eastAsia"/>
        </w:rPr>
        <w:t>基本情况</w:t>
      </w:r>
      <w:r>
        <w:tab/>
      </w:r>
      <w:r>
        <w:fldChar w:fldCharType="begin"/>
      </w:r>
      <w:r>
        <w:instrText xml:space="preserve"> PAGEREF _Toc11270 \h </w:instrText>
      </w:r>
      <w:r>
        <w:fldChar w:fldCharType="separate"/>
      </w:r>
      <w:r>
        <w:t>2</w:t>
      </w:r>
      <w:r>
        <w:fldChar w:fldCharType="end"/>
      </w:r>
      <w:r>
        <w:fldChar w:fldCharType="end"/>
      </w:r>
    </w:p>
    <w:p w14:paraId="175DFE1D">
      <w:pPr>
        <w:pStyle w:val="25"/>
        <w:tabs>
          <w:tab w:val="right" w:leader="dot" w:pos="9354"/>
          <w:tab w:val="clear" w:pos="9344"/>
        </w:tabs>
      </w:pPr>
      <w:r>
        <w:fldChar w:fldCharType="begin"/>
      </w:r>
      <w:r>
        <w:instrText xml:space="preserve"> HYPERLINK \l "_Toc13202"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6.2 </w:t>
      </w:r>
      <w:r>
        <w:rPr>
          <w:rFonts w:hint="eastAsia"/>
        </w:rPr>
        <w:t>自然和社会环境概况</w:t>
      </w:r>
      <w:r>
        <w:tab/>
      </w:r>
      <w:r>
        <w:fldChar w:fldCharType="begin"/>
      </w:r>
      <w:r>
        <w:instrText xml:space="preserve"> PAGEREF _Toc13202 \h </w:instrText>
      </w:r>
      <w:r>
        <w:fldChar w:fldCharType="separate"/>
      </w:r>
      <w:r>
        <w:t>2</w:t>
      </w:r>
      <w:r>
        <w:fldChar w:fldCharType="end"/>
      </w:r>
      <w:r>
        <w:fldChar w:fldCharType="end"/>
      </w:r>
    </w:p>
    <w:p w14:paraId="68C1DDDA">
      <w:pPr>
        <w:pStyle w:val="25"/>
        <w:tabs>
          <w:tab w:val="right" w:leader="dot" w:pos="9354"/>
          <w:tab w:val="clear" w:pos="9344"/>
        </w:tabs>
      </w:pPr>
      <w:r>
        <w:fldChar w:fldCharType="begin"/>
      </w:r>
      <w:r>
        <w:instrText xml:space="preserve"> HYPERLINK \l "_Toc18575"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6.3 </w:t>
      </w:r>
      <w:r>
        <w:rPr>
          <w:rFonts w:hint="eastAsia"/>
        </w:rPr>
        <w:t>设备设施及生产作业现状</w:t>
      </w:r>
      <w:r>
        <w:tab/>
      </w:r>
      <w:r>
        <w:fldChar w:fldCharType="begin"/>
      </w:r>
      <w:r>
        <w:instrText xml:space="preserve"> PAGEREF _Toc18575 \h </w:instrText>
      </w:r>
      <w:r>
        <w:fldChar w:fldCharType="separate"/>
      </w:r>
      <w:r>
        <w:t>2</w:t>
      </w:r>
      <w:r>
        <w:fldChar w:fldCharType="end"/>
      </w:r>
      <w:r>
        <w:fldChar w:fldCharType="end"/>
      </w:r>
    </w:p>
    <w:p w14:paraId="358ABE17">
      <w:pPr>
        <w:pStyle w:val="25"/>
        <w:tabs>
          <w:tab w:val="right" w:leader="dot" w:pos="9354"/>
          <w:tab w:val="clear" w:pos="9344"/>
        </w:tabs>
      </w:pPr>
      <w:r>
        <w:fldChar w:fldCharType="begin"/>
      </w:r>
      <w:r>
        <w:instrText xml:space="preserve"> HYPERLINK \l "_Toc6788"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6.4 </w:t>
      </w:r>
      <w:r>
        <w:rPr>
          <w:rFonts w:hint="eastAsia"/>
        </w:rPr>
        <w:t>安全管理现状</w:t>
      </w:r>
      <w:r>
        <w:tab/>
      </w:r>
      <w:r>
        <w:fldChar w:fldCharType="begin"/>
      </w:r>
      <w:r>
        <w:instrText xml:space="preserve"> PAGEREF _Toc6788 \h </w:instrText>
      </w:r>
      <w:r>
        <w:fldChar w:fldCharType="separate"/>
      </w:r>
      <w:r>
        <w:t>3</w:t>
      </w:r>
      <w:r>
        <w:fldChar w:fldCharType="end"/>
      </w:r>
      <w:r>
        <w:fldChar w:fldCharType="end"/>
      </w:r>
    </w:p>
    <w:p w14:paraId="037D37D0">
      <w:pPr>
        <w:pStyle w:val="25"/>
        <w:tabs>
          <w:tab w:val="right" w:leader="dot" w:pos="9354"/>
          <w:tab w:val="clear" w:pos="9344"/>
        </w:tabs>
      </w:pPr>
      <w:r>
        <w:fldChar w:fldCharType="begin"/>
      </w:r>
      <w:r>
        <w:instrText xml:space="preserve"> HYPERLINK \l "_Toc10686"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6.5 </w:t>
      </w:r>
      <w:r>
        <w:rPr>
          <w:rFonts w:hint="eastAsia"/>
        </w:rPr>
        <w:t>变更情况</w:t>
      </w:r>
      <w:r>
        <w:tab/>
      </w:r>
      <w:r>
        <w:fldChar w:fldCharType="begin"/>
      </w:r>
      <w:r>
        <w:instrText xml:space="preserve"> PAGEREF _Toc10686 \h </w:instrText>
      </w:r>
      <w:r>
        <w:fldChar w:fldCharType="separate"/>
      </w:r>
      <w:r>
        <w:t>3</w:t>
      </w:r>
      <w:r>
        <w:fldChar w:fldCharType="end"/>
      </w:r>
      <w:r>
        <w:fldChar w:fldCharType="end"/>
      </w:r>
    </w:p>
    <w:p w14:paraId="26C2EE94">
      <w:pPr>
        <w:pStyle w:val="20"/>
        <w:tabs>
          <w:tab w:val="right" w:leader="dot" w:pos="9354"/>
        </w:tabs>
      </w:pPr>
      <w:r>
        <w:fldChar w:fldCharType="begin"/>
      </w:r>
      <w:r>
        <w:instrText xml:space="preserve"> HYPERLINK \l "_Toc1230" </w:instrText>
      </w:r>
      <w:r>
        <w:fldChar w:fldCharType="separate"/>
      </w:r>
      <w:r>
        <w:rPr>
          <w:rFonts w:hint="eastAsia" w:ascii="黑体" w:eastAsia="黑体"/>
        </w:rPr>
        <w:t xml:space="preserve">7 </w:t>
      </w:r>
      <w:r>
        <w:rPr>
          <w:rFonts w:hint="eastAsia"/>
        </w:rPr>
        <w:t>评价单元划分与评价方法选择</w:t>
      </w:r>
      <w:r>
        <w:tab/>
      </w:r>
      <w:r>
        <w:fldChar w:fldCharType="begin"/>
      </w:r>
      <w:r>
        <w:instrText xml:space="preserve"> PAGEREF _Toc1230 \h </w:instrText>
      </w:r>
      <w:r>
        <w:fldChar w:fldCharType="separate"/>
      </w:r>
      <w:r>
        <w:t>3</w:t>
      </w:r>
      <w:r>
        <w:fldChar w:fldCharType="end"/>
      </w:r>
      <w:r>
        <w:fldChar w:fldCharType="end"/>
      </w:r>
    </w:p>
    <w:p w14:paraId="4A311A73">
      <w:pPr>
        <w:pStyle w:val="25"/>
        <w:tabs>
          <w:tab w:val="right" w:leader="dot" w:pos="9354"/>
          <w:tab w:val="clear" w:pos="9344"/>
        </w:tabs>
      </w:pPr>
      <w:r>
        <w:fldChar w:fldCharType="begin"/>
      </w:r>
      <w:r>
        <w:instrText xml:space="preserve"> HYPERLINK \l "_Toc2074"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7.1 </w:t>
      </w:r>
      <w:r>
        <w:rPr>
          <w:rFonts w:hint="eastAsia"/>
        </w:rPr>
        <w:t>评价单元划分</w:t>
      </w:r>
      <w:r>
        <w:tab/>
      </w:r>
      <w:r>
        <w:fldChar w:fldCharType="begin"/>
      </w:r>
      <w:r>
        <w:instrText xml:space="preserve"> PAGEREF _Toc2074 \h </w:instrText>
      </w:r>
      <w:r>
        <w:fldChar w:fldCharType="separate"/>
      </w:r>
      <w:r>
        <w:t>3</w:t>
      </w:r>
      <w:r>
        <w:fldChar w:fldCharType="end"/>
      </w:r>
      <w:r>
        <w:fldChar w:fldCharType="end"/>
      </w:r>
    </w:p>
    <w:p w14:paraId="559F1CDD">
      <w:pPr>
        <w:pStyle w:val="25"/>
        <w:tabs>
          <w:tab w:val="right" w:leader="dot" w:pos="9354"/>
          <w:tab w:val="clear" w:pos="9344"/>
        </w:tabs>
      </w:pPr>
      <w:r>
        <w:fldChar w:fldCharType="begin"/>
      </w:r>
      <w:r>
        <w:instrText xml:space="preserve"> HYPERLINK \l "_Toc29873"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7.2 </w:t>
      </w:r>
      <w:r>
        <w:rPr>
          <w:rFonts w:hint="eastAsia"/>
        </w:rPr>
        <w:t>评价方法选择及简介</w:t>
      </w:r>
      <w:r>
        <w:tab/>
      </w:r>
      <w:r>
        <w:fldChar w:fldCharType="begin"/>
      </w:r>
      <w:r>
        <w:instrText xml:space="preserve"> PAGEREF _Toc29873 \h </w:instrText>
      </w:r>
      <w:r>
        <w:fldChar w:fldCharType="separate"/>
      </w:r>
      <w:r>
        <w:t>3</w:t>
      </w:r>
      <w:r>
        <w:fldChar w:fldCharType="end"/>
      </w:r>
      <w:r>
        <w:fldChar w:fldCharType="end"/>
      </w:r>
    </w:p>
    <w:p w14:paraId="78CA58E7">
      <w:pPr>
        <w:pStyle w:val="20"/>
        <w:tabs>
          <w:tab w:val="right" w:leader="dot" w:pos="9354"/>
        </w:tabs>
      </w:pPr>
      <w:r>
        <w:fldChar w:fldCharType="begin"/>
      </w:r>
      <w:r>
        <w:instrText xml:space="preserve"> HYPERLINK \l "_Toc28585" </w:instrText>
      </w:r>
      <w:r>
        <w:fldChar w:fldCharType="separate"/>
      </w:r>
      <w:r>
        <w:rPr>
          <w:rFonts w:hint="eastAsia" w:ascii="黑体" w:eastAsia="黑体"/>
        </w:rPr>
        <w:t xml:space="preserve">8 </w:t>
      </w:r>
      <w:r>
        <w:rPr>
          <w:rFonts w:hint="eastAsia"/>
        </w:rPr>
        <w:t>危险有害因素辨识与分析</w:t>
      </w:r>
      <w:r>
        <w:tab/>
      </w:r>
      <w:r>
        <w:fldChar w:fldCharType="begin"/>
      </w:r>
      <w:r>
        <w:instrText xml:space="preserve"> PAGEREF _Toc28585 \h </w:instrText>
      </w:r>
      <w:r>
        <w:fldChar w:fldCharType="separate"/>
      </w:r>
      <w:r>
        <w:t>4</w:t>
      </w:r>
      <w:r>
        <w:fldChar w:fldCharType="end"/>
      </w:r>
      <w:r>
        <w:fldChar w:fldCharType="end"/>
      </w:r>
    </w:p>
    <w:p w14:paraId="77AAF5BF">
      <w:pPr>
        <w:pStyle w:val="25"/>
        <w:tabs>
          <w:tab w:val="right" w:leader="dot" w:pos="9354"/>
          <w:tab w:val="clear" w:pos="9344"/>
        </w:tabs>
      </w:pPr>
      <w:r>
        <w:fldChar w:fldCharType="begin"/>
      </w:r>
      <w:r>
        <w:instrText xml:space="preserve"> HYPERLINK \l "_Toc4088"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8.1 </w:t>
      </w:r>
      <w:r>
        <w:rPr>
          <w:rFonts w:hint="eastAsia"/>
        </w:rPr>
        <w:t>危险有害物质辨识</w:t>
      </w:r>
      <w:r>
        <w:tab/>
      </w:r>
      <w:r>
        <w:fldChar w:fldCharType="begin"/>
      </w:r>
      <w:r>
        <w:instrText xml:space="preserve"> PAGEREF _Toc4088 \h </w:instrText>
      </w:r>
      <w:r>
        <w:fldChar w:fldCharType="separate"/>
      </w:r>
      <w:r>
        <w:t>4</w:t>
      </w:r>
      <w:r>
        <w:fldChar w:fldCharType="end"/>
      </w:r>
      <w:r>
        <w:fldChar w:fldCharType="end"/>
      </w:r>
    </w:p>
    <w:p w14:paraId="1BEAD433">
      <w:pPr>
        <w:pStyle w:val="25"/>
        <w:tabs>
          <w:tab w:val="right" w:leader="dot" w:pos="9354"/>
          <w:tab w:val="clear" w:pos="9344"/>
        </w:tabs>
      </w:pPr>
      <w:r>
        <w:fldChar w:fldCharType="begin"/>
      </w:r>
      <w:r>
        <w:instrText xml:space="preserve"> HYPERLINK \l "_Toc16666"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8.2 </w:t>
      </w:r>
      <w:r>
        <w:rPr>
          <w:rFonts w:hint="eastAsia"/>
        </w:rPr>
        <w:t>设备设施及生产作业危险有害因素辨识与分析</w:t>
      </w:r>
      <w:r>
        <w:tab/>
      </w:r>
      <w:r>
        <w:fldChar w:fldCharType="begin"/>
      </w:r>
      <w:r>
        <w:instrText xml:space="preserve"> PAGEREF _Toc16666 \h </w:instrText>
      </w:r>
      <w:r>
        <w:fldChar w:fldCharType="separate"/>
      </w:r>
      <w:r>
        <w:t>4</w:t>
      </w:r>
      <w:r>
        <w:fldChar w:fldCharType="end"/>
      </w:r>
      <w:r>
        <w:fldChar w:fldCharType="end"/>
      </w:r>
    </w:p>
    <w:p w14:paraId="4411F15F">
      <w:pPr>
        <w:pStyle w:val="25"/>
        <w:tabs>
          <w:tab w:val="right" w:leader="dot" w:pos="9354"/>
          <w:tab w:val="clear" w:pos="9344"/>
        </w:tabs>
      </w:pPr>
      <w:r>
        <w:fldChar w:fldCharType="begin"/>
      </w:r>
      <w:r>
        <w:instrText xml:space="preserve"> HYPERLINK \l "_Toc26230"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8.3 </w:t>
      </w:r>
      <w:r>
        <w:rPr>
          <w:rFonts w:hint="eastAsia"/>
        </w:rPr>
        <w:t>自然和社会环境危险有害因素辨识与分析</w:t>
      </w:r>
      <w:r>
        <w:tab/>
      </w:r>
      <w:r>
        <w:fldChar w:fldCharType="begin"/>
      </w:r>
      <w:r>
        <w:instrText xml:space="preserve"> PAGEREF _Toc26230 \h </w:instrText>
      </w:r>
      <w:r>
        <w:fldChar w:fldCharType="separate"/>
      </w:r>
      <w:r>
        <w:t>4</w:t>
      </w:r>
      <w:r>
        <w:fldChar w:fldCharType="end"/>
      </w:r>
      <w:r>
        <w:fldChar w:fldCharType="end"/>
      </w:r>
    </w:p>
    <w:p w14:paraId="3B6F3FD8">
      <w:pPr>
        <w:pStyle w:val="20"/>
        <w:tabs>
          <w:tab w:val="right" w:leader="dot" w:pos="9354"/>
        </w:tabs>
      </w:pPr>
      <w:r>
        <w:fldChar w:fldCharType="begin"/>
      </w:r>
      <w:r>
        <w:instrText xml:space="preserve"> HYPERLINK \l "_Toc16201" </w:instrText>
      </w:r>
      <w:r>
        <w:fldChar w:fldCharType="separate"/>
      </w:r>
      <w:r>
        <w:rPr>
          <w:rFonts w:hint="eastAsia" w:ascii="黑体" w:eastAsia="黑体"/>
        </w:rPr>
        <w:t xml:space="preserve">9 </w:t>
      </w:r>
      <w:r>
        <w:rPr>
          <w:rFonts w:hint="eastAsia"/>
        </w:rPr>
        <w:t>设备设施及生产作业单元评价</w:t>
      </w:r>
      <w:r>
        <w:tab/>
      </w:r>
      <w:r>
        <w:fldChar w:fldCharType="begin"/>
      </w:r>
      <w:r>
        <w:instrText xml:space="preserve"> PAGEREF _Toc16201 \h </w:instrText>
      </w:r>
      <w:r>
        <w:fldChar w:fldCharType="separate"/>
      </w:r>
      <w:r>
        <w:t>4</w:t>
      </w:r>
      <w:r>
        <w:fldChar w:fldCharType="end"/>
      </w:r>
      <w:r>
        <w:fldChar w:fldCharType="end"/>
      </w:r>
    </w:p>
    <w:p w14:paraId="7BBFB50F">
      <w:pPr>
        <w:pStyle w:val="25"/>
        <w:tabs>
          <w:tab w:val="right" w:leader="dot" w:pos="9354"/>
          <w:tab w:val="clear" w:pos="9344"/>
        </w:tabs>
      </w:pPr>
      <w:r>
        <w:fldChar w:fldCharType="begin"/>
      </w:r>
      <w:r>
        <w:instrText xml:space="preserve"> HYPERLINK \l "_Toc16523"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9.1 </w:t>
      </w:r>
      <w:r>
        <w:rPr>
          <w:rFonts w:hint="eastAsia"/>
        </w:rPr>
        <w:t>陆上采油（气）</w:t>
      </w:r>
      <w:r>
        <w:tab/>
      </w:r>
      <w:r>
        <w:fldChar w:fldCharType="begin"/>
      </w:r>
      <w:r>
        <w:instrText xml:space="preserve"> PAGEREF _Toc16523 \h </w:instrText>
      </w:r>
      <w:r>
        <w:fldChar w:fldCharType="separate"/>
      </w:r>
      <w:r>
        <w:t>4</w:t>
      </w:r>
      <w:r>
        <w:fldChar w:fldCharType="end"/>
      </w:r>
      <w:r>
        <w:fldChar w:fldCharType="end"/>
      </w:r>
    </w:p>
    <w:p w14:paraId="4D6B4BA5">
      <w:pPr>
        <w:pStyle w:val="25"/>
        <w:tabs>
          <w:tab w:val="right" w:leader="dot" w:pos="9354"/>
          <w:tab w:val="clear" w:pos="9344"/>
        </w:tabs>
      </w:pPr>
      <w:r>
        <w:fldChar w:fldCharType="begin"/>
      </w:r>
      <w:r>
        <w:instrText xml:space="preserve"> HYPERLINK \l "_Toc1455"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9.2 </w:t>
      </w:r>
      <w:r>
        <w:rPr>
          <w:rFonts w:hint="eastAsia"/>
        </w:rPr>
        <w:t>物探</w:t>
      </w:r>
      <w:r>
        <w:tab/>
      </w:r>
      <w:r>
        <w:fldChar w:fldCharType="begin"/>
      </w:r>
      <w:r>
        <w:instrText xml:space="preserve"> PAGEREF _Toc1455 \h </w:instrText>
      </w:r>
      <w:r>
        <w:fldChar w:fldCharType="separate"/>
      </w:r>
      <w:r>
        <w:t>6</w:t>
      </w:r>
      <w:r>
        <w:fldChar w:fldCharType="end"/>
      </w:r>
      <w:r>
        <w:fldChar w:fldCharType="end"/>
      </w:r>
    </w:p>
    <w:p w14:paraId="7B254112">
      <w:pPr>
        <w:pStyle w:val="25"/>
        <w:tabs>
          <w:tab w:val="right" w:leader="dot" w:pos="9354"/>
          <w:tab w:val="clear" w:pos="9344"/>
        </w:tabs>
      </w:pPr>
      <w:r>
        <w:fldChar w:fldCharType="begin"/>
      </w:r>
      <w:r>
        <w:instrText xml:space="preserve"> HYPERLINK \l "_Toc16414"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9.3 </w:t>
      </w:r>
      <w:r>
        <w:rPr>
          <w:rFonts w:hint="eastAsia"/>
        </w:rPr>
        <w:t>钻井</w:t>
      </w:r>
      <w:r>
        <w:tab/>
      </w:r>
      <w:r>
        <w:fldChar w:fldCharType="begin"/>
      </w:r>
      <w:r>
        <w:instrText xml:space="preserve"> PAGEREF _Toc16414 \h </w:instrText>
      </w:r>
      <w:r>
        <w:fldChar w:fldCharType="separate"/>
      </w:r>
      <w:r>
        <w:t>6</w:t>
      </w:r>
      <w:r>
        <w:fldChar w:fldCharType="end"/>
      </w:r>
      <w:r>
        <w:fldChar w:fldCharType="end"/>
      </w:r>
    </w:p>
    <w:p w14:paraId="7ED3BD74">
      <w:pPr>
        <w:pStyle w:val="25"/>
        <w:tabs>
          <w:tab w:val="right" w:leader="dot" w:pos="9354"/>
          <w:tab w:val="clear" w:pos="9344"/>
        </w:tabs>
      </w:pPr>
      <w:r>
        <w:fldChar w:fldCharType="begin"/>
      </w:r>
      <w:r>
        <w:instrText xml:space="preserve"> HYPERLINK \l "_Toc1471"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9.4 </w:t>
      </w:r>
      <w:r>
        <w:rPr>
          <w:rFonts w:hint="eastAsia"/>
        </w:rPr>
        <w:t>录井</w:t>
      </w:r>
      <w:r>
        <w:tab/>
      </w:r>
      <w:r>
        <w:fldChar w:fldCharType="begin"/>
      </w:r>
      <w:r>
        <w:instrText xml:space="preserve"> PAGEREF _Toc1471 \h </w:instrText>
      </w:r>
      <w:r>
        <w:fldChar w:fldCharType="separate"/>
      </w:r>
      <w:r>
        <w:t>6</w:t>
      </w:r>
      <w:r>
        <w:fldChar w:fldCharType="end"/>
      </w:r>
      <w:r>
        <w:fldChar w:fldCharType="end"/>
      </w:r>
    </w:p>
    <w:p w14:paraId="7CEBBC99">
      <w:pPr>
        <w:pStyle w:val="25"/>
        <w:tabs>
          <w:tab w:val="right" w:leader="dot" w:pos="9354"/>
          <w:tab w:val="clear" w:pos="9344"/>
        </w:tabs>
      </w:pPr>
      <w:r>
        <w:fldChar w:fldCharType="begin"/>
      </w:r>
      <w:r>
        <w:instrText xml:space="preserve"> HYPERLINK \l "_Toc5632"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9.5 </w:t>
      </w:r>
      <w:r>
        <w:rPr>
          <w:rFonts w:hint="eastAsia"/>
        </w:rPr>
        <w:t>测井</w:t>
      </w:r>
      <w:r>
        <w:tab/>
      </w:r>
      <w:r>
        <w:fldChar w:fldCharType="begin"/>
      </w:r>
      <w:r>
        <w:instrText xml:space="preserve"> PAGEREF _Toc5632 \h </w:instrText>
      </w:r>
      <w:r>
        <w:fldChar w:fldCharType="separate"/>
      </w:r>
      <w:r>
        <w:t>6</w:t>
      </w:r>
      <w:r>
        <w:fldChar w:fldCharType="end"/>
      </w:r>
      <w:r>
        <w:fldChar w:fldCharType="end"/>
      </w:r>
    </w:p>
    <w:p w14:paraId="10B8C8AA">
      <w:pPr>
        <w:pStyle w:val="25"/>
        <w:tabs>
          <w:tab w:val="right" w:leader="dot" w:pos="9354"/>
          <w:tab w:val="clear" w:pos="9344"/>
        </w:tabs>
      </w:pPr>
      <w:r>
        <w:fldChar w:fldCharType="begin"/>
      </w:r>
      <w:r>
        <w:instrText xml:space="preserve"> HYPERLINK \l "_Toc16902"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9.6 </w:t>
      </w:r>
      <w:r>
        <w:rPr>
          <w:rFonts w:hint="eastAsia"/>
        </w:rPr>
        <w:t>井下作业</w:t>
      </w:r>
      <w:r>
        <w:tab/>
      </w:r>
      <w:r>
        <w:fldChar w:fldCharType="begin"/>
      </w:r>
      <w:r>
        <w:instrText xml:space="preserve"> PAGEREF _Toc16902 \h </w:instrText>
      </w:r>
      <w:r>
        <w:fldChar w:fldCharType="separate"/>
      </w:r>
      <w:r>
        <w:t>6</w:t>
      </w:r>
      <w:r>
        <w:fldChar w:fldCharType="end"/>
      </w:r>
      <w:r>
        <w:fldChar w:fldCharType="end"/>
      </w:r>
    </w:p>
    <w:p w14:paraId="79E09090">
      <w:pPr>
        <w:pStyle w:val="25"/>
        <w:tabs>
          <w:tab w:val="right" w:leader="dot" w:pos="9354"/>
          <w:tab w:val="clear" w:pos="9344"/>
        </w:tabs>
      </w:pPr>
      <w:r>
        <w:fldChar w:fldCharType="begin"/>
      </w:r>
      <w:r>
        <w:instrText xml:space="preserve"> HYPERLINK \l "_Toc26376"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9.7 </w:t>
      </w:r>
      <w:r>
        <w:rPr>
          <w:rFonts w:hint="eastAsia"/>
        </w:rPr>
        <w:t>油建</w:t>
      </w:r>
      <w:r>
        <w:tab/>
      </w:r>
      <w:r>
        <w:fldChar w:fldCharType="begin"/>
      </w:r>
      <w:r>
        <w:instrText xml:space="preserve"> PAGEREF _Toc26376 \h </w:instrText>
      </w:r>
      <w:r>
        <w:fldChar w:fldCharType="separate"/>
      </w:r>
      <w:r>
        <w:t>7</w:t>
      </w:r>
      <w:r>
        <w:fldChar w:fldCharType="end"/>
      </w:r>
      <w:r>
        <w:fldChar w:fldCharType="end"/>
      </w:r>
    </w:p>
    <w:p w14:paraId="25BEC141">
      <w:pPr>
        <w:pStyle w:val="20"/>
        <w:tabs>
          <w:tab w:val="right" w:leader="dot" w:pos="9354"/>
        </w:tabs>
      </w:pPr>
      <w:r>
        <w:fldChar w:fldCharType="begin"/>
      </w:r>
      <w:r>
        <w:instrText xml:space="preserve"> HYPERLINK \l "_Toc32370" </w:instrText>
      </w:r>
      <w:r>
        <w:fldChar w:fldCharType="separate"/>
      </w:r>
      <w:r>
        <w:rPr>
          <w:rFonts w:hint="eastAsia" w:ascii="黑体" w:eastAsia="黑体"/>
        </w:rPr>
        <w:t xml:space="preserve">10 </w:t>
      </w:r>
      <w:r>
        <w:rPr>
          <w:rFonts w:hint="eastAsia"/>
        </w:rPr>
        <w:t>安全管理单元评价</w:t>
      </w:r>
      <w:r>
        <w:tab/>
      </w:r>
      <w:r>
        <w:fldChar w:fldCharType="begin"/>
      </w:r>
      <w:r>
        <w:instrText xml:space="preserve"> PAGEREF _Toc32370 \h </w:instrText>
      </w:r>
      <w:r>
        <w:fldChar w:fldCharType="separate"/>
      </w:r>
      <w:r>
        <w:t>7</w:t>
      </w:r>
      <w:r>
        <w:fldChar w:fldCharType="end"/>
      </w:r>
      <w:r>
        <w:fldChar w:fldCharType="end"/>
      </w:r>
    </w:p>
    <w:p w14:paraId="30F659E2">
      <w:pPr>
        <w:pStyle w:val="20"/>
        <w:tabs>
          <w:tab w:val="right" w:leader="dot" w:pos="9354"/>
        </w:tabs>
      </w:pPr>
      <w:r>
        <w:fldChar w:fldCharType="begin"/>
      </w:r>
      <w:r>
        <w:instrText xml:space="preserve"> HYPERLINK \l "_Toc24526" </w:instrText>
      </w:r>
      <w:r>
        <w:fldChar w:fldCharType="separate"/>
      </w:r>
      <w:r>
        <w:rPr>
          <w:rFonts w:hint="eastAsia" w:ascii="黑体" w:eastAsia="黑体"/>
        </w:rPr>
        <w:t xml:space="preserve">11 </w:t>
      </w:r>
      <w:r>
        <w:rPr>
          <w:rFonts w:hint="eastAsia"/>
        </w:rPr>
        <w:t>安全对策措施及建议</w:t>
      </w:r>
      <w:r>
        <w:tab/>
      </w:r>
      <w:r>
        <w:fldChar w:fldCharType="begin"/>
      </w:r>
      <w:r>
        <w:instrText xml:space="preserve"> PAGEREF _Toc24526 \h </w:instrText>
      </w:r>
      <w:r>
        <w:fldChar w:fldCharType="separate"/>
      </w:r>
      <w:r>
        <w:t>7</w:t>
      </w:r>
      <w:r>
        <w:fldChar w:fldCharType="end"/>
      </w:r>
      <w:r>
        <w:fldChar w:fldCharType="end"/>
      </w:r>
    </w:p>
    <w:p w14:paraId="66CB9D52">
      <w:pPr>
        <w:pStyle w:val="20"/>
        <w:tabs>
          <w:tab w:val="right" w:leader="dot" w:pos="9354"/>
        </w:tabs>
      </w:pPr>
      <w:r>
        <w:fldChar w:fldCharType="begin"/>
      </w:r>
      <w:r>
        <w:instrText xml:space="preserve"> HYPERLINK \l "_Toc21533" </w:instrText>
      </w:r>
      <w:r>
        <w:fldChar w:fldCharType="separate"/>
      </w:r>
      <w:r>
        <w:rPr>
          <w:rFonts w:hint="eastAsia" w:ascii="黑体" w:eastAsia="黑体"/>
        </w:rPr>
        <w:t xml:space="preserve">12 </w:t>
      </w:r>
      <w:r>
        <w:rPr>
          <w:rFonts w:hint="eastAsia"/>
        </w:rPr>
        <w:t>安全现状评价结论</w:t>
      </w:r>
      <w:r>
        <w:tab/>
      </w:r>
      <w:r>
        <w:fldChar w:fldCharType="begin"/>
      </w:r>
      <w:r>
        <w:instrText xml:space="preserve"> PAGEREF _Toc21533 \h </w:instrText>
      </w:r>
      <w:r>
        <w:fldChar w:fldCharType="separate"/>
      </w:r>
      <w:r>
        <w:t>7</w:t>
      </w:r>
      <w:r>
        <w:fldChar w:fldCharType="end"/>
      </w:r>
      <w:r>
        <w:fldChar w:fldCharType="end"/>
      </w:r>
    </w:p>
    <w:p w14:paraId="755AFC5E">
      <w:pPr>
        <w:pStyle w:val="20"/>
        <w:tabs>
          <w:tab w:val="right" w:leader="dot" w:pos="9354"/>
        </w:tabs>
      </w:pPr>
      <w:r>
        <w:fldChar w:fldCharType="begin"/>
      </w:r>
      <w:r>
        <w:instrText xml:space="preserve"> HYPERLINK \l "_Toc16506" </w:instrText>
      </w:r>
      <w:r>
        <w:fldChar w:fldCharType="separate"/>
      </w:r>
      <w:r>
        <w:rPr>
          <w:rFonts w:hint="eastAsia" w:ascii="黑体" w:eastAsia="黑体"/>
        </w:rPr>
        <w:t xml:space="preserve">13 </w:t>
      </w:r>
      <w:r>
        <w:rPr>
          <w:rFonts w:hint="eastAsia"/>
        </w:rPr>
        <w:t>附件与附图</w:t>
      </w:r>
      <w:r>
        <w:tab/>
      </w:r>
      <w:r>
        <w:fldChar w:fldCharType="begin"/>
      </w:r>
      <w:r>
        <w:instrText xml:space="preserve"> PAGEREF _Toc16506 \h </w:instrText>
      </w:r>
      <w:r>
        <w:fldChar w:fldCharType="separate"/>
      </w:r>
      <w:r>
        <w:t>8</w:t>
      </w:r>
      <w:r>
        <w:fldChar w:fldCharType="end"/>
      </w:r>
      <w:r>
        <w:fldChar w:fldCharType="end"/>
      </w:r>
    </w:p>
    <w:p w14:paraId="01AD7425">
      <w:pPr>
        <w:pStyle w:val="25"/>
        <w:tabs>
          <w:tab w:val="right" w:leader="dot" w:pos="9354"/>
          <w:tab w:val="clear" w:pos="9344"/>
        </w:tabs>
      </w:pPr>
      <w:r>
        <w:fldChar w:fldCharType="begin"/>
      </w:r>
      <w:r>
        <w:instrText xml:space="preserve"> HYPERLINK \l "_Toc10292"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13.1 </w:t>
      </w:r>
      <w:r>
        <w:rPr>
          <w:rFonts w:hint="eastAsia"/>
        </w:rPr>
        <w:t>附件</w:t>
      </w:r>
      <w:r>
        <w:tab/>
      </w:r>
      <w:r>
        <w:fldChar w:fldCharType="begin"/>
      </w:r>
      <w:r>
        <w:instrText xml:space="preserve"> PAGEREF _Toc10292 \h </w:instrText>
      </w:r>
      <w:r>
        <w:fldChar w:fldCharType="separate"/>
      </w:r>
      <w:r>
        <w:t>8</w:t>
      </w:r>
      <w:r>
        <w:fldChar w:fldCharType="end"/>
      </w:r>
      <w:r>
        <w:fldChar w:fldCharType="end"/>
      </w:r>
    </w:p>
    <w:p w14:paraId="659A3E38">
      <w:pPr>
        <w:pStyle w:val="25"/>
        <w:tabs>
          <w:tab w:val="right" w:leader="dot" w:pos="9354"/>
          <w:tab w:val="clear" w:pos="9344"/>
        </w:tabs>
      </w:pPr>
      <w:r>
        <w:fldChar w:fldCharType="begin"/>
      </w:r>
      <w:r>
        <w:instrText xml:space="preserve"> HYPERLINK \l "_Toc4229" </w:instrText>
      </w:r>
      <w:r>
        <w:fldChar w:fldCharType="separate"/>
      </w:r>
      <w:r>
        <w:rPr>
          <w:rFonts w:hint="eastAsia" w:ascii="黑体" w:hAnsi="Times New Roman" w:eastAsia="黑体"/>
          <w:kern w:val="0"/>
          <w14:scene3d w14:prst="orthographicFront">
            <w14:lightRig w14:rig="threePt" w14:dir="t">
              <w14:rot w14:lat="0" w14:lon="0" w14:rev="0"/>
            </w14:lightRig>
          </w14:scene3d>
        </w:rPr>
        <w:t xml:space="preserve">13.2 </w:t>
      </w:r>
      <w:r>
        <w:rPr>
          <w:rFonts w:hint="eastAsia"/>
        </w:rPr>
        <w:t>附图</w:t>
      </w:r>
      <w:r>
        <w:tab/>
      </w:r>
      <w:r>
        <w:fldChar w:fldCharType="begin"/>
      </w:r>
      <w:r>
        <w:instrText xml:space="preserve"> PAGEREF _Toc4229 \h </w:instrText>
      </w:r>
      <w:r>
        <w:fldChar w:fldCharType="separate"/>
      </w:r>
      <w:r>
        <w:t>8</w:t>
      </w:r>
      <w:r>
        <w:fldChar w:fldCharType="end"/>
      </w:r>
      <w:r>
        <w:fldChar w:fldCharType="end"/>
      </w:r>
    </w:p>
    <w:p w14:paraId="41CC9A2F">
      <w:pPr>
        <w:pStyle w:val="20"/>
        <w:tabs>
          <w:tab w:val="right" w:leader="dot" w:pos="9354"/>
        </w:tabs>
      </w:pPr>
      <w:r>
        <w:fldChar w:fldCharType="begin"/>
      </w:r>
      <w:r>
        <w:instrText xml:space="preserve"> HYPERLINK \l "_Toc18246" </w:instrText>
      </w:r>
      <w:r>
        <w:fldChar w:fldCharType="separate"/>
      </w:r>
      <w:r>
        <w:rPr>
          <w:rFonts w:hint="eastAsia" w:ascii="黑体" w:eastAsia="黑体"/>
        </w:rPr>
        <w:t xml:space="preserve">14 </w:t>
      </w:r>
      <w:r>
        <w:rPr>
          <w:rFonts w:hint="eastAsia"/>
        </w:rPr>
        <w:t>安全现状评价报告格式要求</w:t>
      </w:r>
      <w:r>
        <w:tab/>
      </w:r>
      <w:r>
        <w:fldChar w:fldCharType="begin"/>
      </w:r>
      <w:r>
        <w:instrText xml:space="preserve"> PAGEREF _Toc18246 \h </w:instrText>
      </w:r>
      <w:r>
        <w:fldChar w:fldCharType="separate"/>
      </w:r>
      <w:r>
        <w:t>8</w:t>
      </w:r>
      <w:r>
        <w:fldChar w:fldCharType="end"/>
      </w:r>
      <w:r>
        <w:fldChar w:fldCharType="end"/>
      </w:r>
    </w:p>
    <w:p w14:paraId="64291F3A">
      <w:pPr>
        <w:pStyle w:val="20"/>
        <w:tabs>
          <w:tab w:val="right" w:leader="dot" w:pos="9354"/>
        </w:tabs>
      </w:pPr>
      <w:r>
        <w:fldChar w:fldCharType="begin"/>
      </w:r>
      <w:r>
        <w:instrText xml:space="preserve"> HYPERLINK \l "_Toc10576" </w:instrText>
      </w:r>
      <w:r>
        <w:fldChar w:fldCharType="separate"/>
      </w:r>
      <w:r>
        <w:rPr>
          <w:rFonts w:hint="eastAsia"/>
        </w:rPr>
        <w:t>附录A（资料性）</w:t>
      </w:r>
      <w:r>
        <w:rPr>
          <w:rFonts w:hint="eastAsia" w:ascii="Times New Roman"/>
        </w:rPr>
        <w:t>陆上石油天然气企业安全现状评价记录清单</w:t>
      </w:r>
      <w:r>
        <w:tab/>
      </w:r>
      <w:r>
        <w:fldChar w:fldCharType="begin"/>
      </w:r>
      <w:r>
        <w:instrText xml:space="preserve"> PAGEREF _Toc10576 \h </w:instrText>
      </w:r>
      <w:r>
        <w:fldChar w:fldCharType="separate"/>
      </w:r>
      <w:r>
        <w:t>9</w:t>
      </w:r>
      <w:r>
        <w:fldChar w:fldCharType="end"/>
      </w:r>
      <w:r>
        <w:fldChar w:fldCharType="end"/>
      </w:r>
    </w:p>
    <w:p w14:paraId="7F83832D">
      <w:pPr>
        <w:pStyle w:val="20"/>
        <w:tabs>
          <w:tab w:val="right" w:leader="dot" w:pos="9354"/>
        </w:tabs>
      </w:pPr>
      <w:r>
        <w:fldChar w:fldCharType="begin"/>
      </w:r>
      <w:r>
        <w:instrText xml:space="preserve"> HYPERLINK \l "_Toc12287" </w:instrText>
      </w:r>
      <w:r>
        <w:fldChar w:fldCharType="separate"/>
      </w:r>
      <w:r>
        <w:rPr>
          <w:rFonts w:hint="eastAsia"/>
        </w:rPr>
        <w:t>附录B（规范性）常用安全现状评价方法</w:t>
      </w:r>
      <w:r>
        <w:tab/>
      </w:r>
      <w:r>
        <w:fldChar w:fldCharType="begin"/>
      </w:r>
      <w:r>
        <w:instrText xml:space="preserve"> PAGEREF _Toc12287 \h </w:instrText>
      </w:r>
      <w:r>
        <w:fldChar w:fldCharType="separate"/>
      </w:r>
      <w:r>
        <w:t>13</w:t>
      </w:r>
      <w:r>
        <w:fldChar w:fldCharType="end"/>
      </w:r>
      <w:r>
        <w:fldChar w:fldCharType="end"/>
      </w:r>
    </w:p>
    <w:p w14:paraId="0CA57DDD">
      <w:pPr>
        <w:pStyle w:val="20"/>
        <w:tabs>
          <w:tab w:val="right" w:leader="dot" w:pos="9354"/>
        </w:tabs>
      </w:pPr>
      <w:r>
        <w:fldChar w:fldCharType="begin"/>
      </w:r>
      <w:r>
        <w:instrText xml:space="preserve"> HYPERLINK \l "_Toc5759" </w:instrText>
      </w:r>
      <w:r>
        <w:fldChar w:fldCharType="separate"/>
      </w:r>
      <w:r>
        <w:rPr>
          <w:rFonts w:hint="eastAsia"/>
        </w:rPr>
        <w:t>附录C（规范性）安全现状评价报告格式</w:t>
      </w:r>
      <w:r>
        <w:tab/>
      </w:r>
      <w:r>
        <w:fldChar w:fldCharType="begin"/>
      </w:r>
      <w:r>
        <w:instrText xml:space="preserve"> PAGEREF _Toc5759 \h </w:instrText>
      </w:r>
      <w:r>
        <w:fldChar w:fldCharType="separate"/>
      </w:r>
      <w:r>
        <w:t>14</w:t>
      </w:r>
      <w:r>
        <w:fldChar w:fldCharType="end"/>
      </w:r>
      <w:r>
        <w:fldChar w:fldCharType="end"/>
      </w:r>
    </w:p>
    <w:p w14:paraId="3A87F76E">
      <w:pPr>
        <w:pStyle w:val="20"/>
        <w:tabs>
          <w:tab w:val="right" w:leader="dot" w:pos="9354"/>
        </w:tabs>
      </w:pPr>
      <w:r>
        <w:fldChar w:fldCharType="begin"/>
      </w:r>
      <w:r>
        <w:instrText xml:space="preserve"> HYPERLINK \l "_Toc26505" </w:instrText>
      </w:r>
      <w:r>
        <w:fldChar w:fldCharType="separate"/>
      </w:r>
      <w:r>
        <w:rPr>
          <w:rFonts w:hint="eastAsia"/>
        </w:rPr>
        <w:t>参考文献</w:t>
      </w:r>
      <w:r>
        <w:tab/>
      </w:r>
      <w:r>
        <w:fldChar w:fldCharType="begin"/>
      </w:r>
      <w:r>
        <w:instrText xml:space="preserve"> PAGEREF _Toc26505 \h </w:instrText>
      </w:r>
      <w:r>
        <w:fldChar w:fldCharType="separate"/>
      </w:r>
      <w:r>
        <w:t>19</w:t>
      </w:r>
      <w:r>
        <w:fldChar w:fldCharType="end"/>
      </w:r>
      <w:r>
        <w:fldChar w:fldCharType="end"/>
      </w:r>
    </w:p>
    <w:p w14:paraId="63804D36">
      <w:pPr>
        <w:pStyle w:val="20"/>
        <w:tabs>
          <w:tab w:val="right" w:leader="dot" w:pos="9354"/>
        </w:tabs>
        <w:spacing w:after="360"/>
        <w:sectPr>
          <w:headerReference r:id="rId9" w:type="default"/>
          <w:footerReference r:id="rId10" w:type="default"/>
          <w:pgSz w:w="11906" w:h="16838"/>
          <w:pgMar w:top="1928" w:right="1134" w:bottom="1134" w:left="1134" w:header="1418" w:footer="1134" w:gutter="284"/>
          <w:pgNumType w:fmt="upperRoman" w:start="1"/>
          <w:cols w:space="425" w:num="1"/>
          <w:formProt w:val="0"/>
          <w:docGrid w:linePitch="312" w:charSpace="0"/>
        </w:sectPr>
      </w:pPr>
      <w:r>
        <w:rPr>
          <w:rFonts w:hint="eastAsia"/>
        </w:rPr>
        <w:fldChar w:fldCharType="end"/>
      </w:r>
    </w:p>
    <w:bookmarkEnd w:id="20"/>
    <w:p w14:paraId="436DA856">
      <w:pPr>
        <w:pStyle w:val="90"/>
        <w:spacing w:after="360"/>
      </w:pPr>
      <w:bookmarkStart w:id="26" w:name="_Toc19698"/>
      <w:bookmarkStart w:id="27" w:name="BookMark2"/>
      <w:r>
        <w:rPr>
          <w:rFonts w:hint="eastAsia"/>
          <w:spacing w:val="320"/>
        </w:rPr>
        <w:t>前</w:t>
      </w:r>
      <w:r>
        <w:rPr>
          <w:rFonts w:hint="eastAsia"/>
        </w:rPr>
        <w:t>言</w:t>
      </w:r>
      <w:bookmarkEnd w:id="21"/>
      <w:bookmarkEnd w:id="22"/>
      <w:bookmarkEnd w:id="23"/>
      <w:bookmarkEnd w:id="24"/>
      <w:bookmarkEnd w:id="25"/>
      <w:bookmarkEnd w:id="26"/>
    </w:p>
    <w:p w14:paraId="31AD1842">
      <w:pPr>
        <w:pStyle w:val="57"/>
        <w:ind w:firstLine="420"/>
        <w:rPr>
          <w:rFonts w:ascii="黑体" w:hAnsi="黑体" w:eastAsia="黑体" w:cs="黑体"/>
        </w:rPr>
      </w:pPr>
      <w:r>
        <w:rPr>
          <w:rFonts w:hint="eastAsia" w:ascii="黑体" w:hAnsi="黑体" w:eastAsia="黑体" w:cs="黑体"/>
        </w:rPr>
        <w:t>本文件的全部技术内容为强制性。</w:t>
      </w:r>
    </w:p>
    <w:p w14:paraId="59D2D19A">
      <w:pPr>
        <w:pStyle w:val="57"/>
        <w:ind w:firstLine="420"/>
      </w:pPr>
      <w:r>
        <w:rPr>
          <w:rFonts w:hint="eastAsia"/>
        </w:rPr>
        <w:t>本文件按照GB/T 1.1—2020《标准化工作导则  第1部分：标准化文件的结构和起草规则》的规定起草。</w:t>
      </w:r>
    </w:p>
    <w:p w14:paraId="3FF7E604">
      <w:pPr>
        <w:pStyle w:val="57"/>
        <w:ind w:firstLine="420"/>
      </w:pPr>
      <w:r>
        <w:rPr>
          <w:rFonts w:hint="eastAsia"/>
        </w:rPr>
        <w:t>请注意本文件的某些内容可能涉及专利。本文件的发布机构不承担识别专利的责任。</w:t>
      </w:r>
    </w:p>
    <w:p w14:paraId="100C761A">
      <w:pPr>
        <w:pStyle w:val="57"/>
        <w:ind w:firstLine="420"/>
        <w:rPr>
          <w:rFonts w:ascii="黑体" w:hAnsi="黑体"/>
        </w:rPr>
      </w:pPr>
      <w:r>
        <w:rPr>
          <w:rFonts w:hint="eastAsia" w:ascii="黑体" w:hAnsi="黑体"/>
        </w:rPr>
        <w:t>本文件由中华人民共和国应急管理部提出。危险化学品安全监督二司业务管理、政策法规司统筹管理。</w:t>
      </w:r>
    </w:p>
    <w:p w14:paraId="2D030B36">
      <w:pPr>
        <w:pStyle w:val="57"/>
        <w:ind w:firstLine="420"/>
      </w:pPr>
      <w:r>
        <w:rPr>
          <w:rFonts w:hint="eastAsia" w:ascii="黑体" w:hAnsi="黑体"/>
        </w:rPr>
        <w:t>本文件由全国安全生产标准化技术委员会石油天然气开采安全分技术委员会（SAC/TC 288/SC 10）技术归口及咨询。</w:t>
      </w:r>
    </w:p>
    <w:p w14:paraId="2C51CA67">
      <w:pPr>
        <w:pStyle w:val="57"/>
        <w:ind w:firstLine="420"/>
      </w:pPr>
      <w:r>
        <w:rPr>
          <w:rFonts w:hint="eastAsia"/>
        </w:rPr>
        <w:t>本文件起草单位：</w:t>
      </w:r>
    </w:p>
    <w:p w14:paraId="0BBF8146">
      <w:pPr>
        <w:pStyle w:val="57"/>
        <w:ind w:firstLine="420"/>
      </w:pPr>
      <w:r>
        <w:rPr>
          <w:rFonts w:hint="eastAsia"/>
        </w:rPr>
        <w:t>本文件主要起草人：</w:t>
      </w:r>
    </w:p>
    <w:p w14:paraId="57352EA4">
      <w:pPr>
        <w:pStyle w:val="57"/>
        <w:ind w:firstLine="420"/>
      </w:pPr>
      <w:r>
        <w:rPr>
          <w:rFonts w:hint="eastAsia"/>
        </w:rPr>
        <w:t>本文件为首次发布。</w:t>
      </w:r>
    </w:p>
    <w:p w14:paraId="4050931E">
      <w:pPr>
        <w:pStyle w:val="57"/>
        <w:ind w:firstLine="420"/>
      </w:pPr>
    </w:p>
    <w:p w14:paraId="0CA9986E">
      <w:pPr>
        <w:pStyle w:val="57"/>
        <w:ind w:firstLine="420"/>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cols w:space="425" w:num="1"/>
          <w:formProt w:val="0"/>
          <w:docGrid w:linePitch="312" w:charSpace="0"/>
        </w:sectPr>
      </w:pPr>
    </w:p>
    <w:bookmarkEnd w:id="27"/>
    <w:p w14:paraId="66754CE0">
      <w:pPr>
        <w:spacing w:line="20" w:lineRule="exact"/>
        <w:jc w:val="center"/>
        <w:rPr>
          <w:rFonts w:ascii="黑体" w:hAnsi="黑体" w:eastAsia="黑体"/>
          <w:sz w:val="32"/>
          <w:szCs w:val="32"/>
        </w:rPr>
      </w:pPr>
      <w:bookmarkStart w:id="28" w:name="BookMark4"/>
    </w:p>
    <w:p w14:paraId="3BD3B2D5">
      <w:pPr>
        <w:spacing w:line="20" w:lineRule="exact"/>
        <w:jc w:val="center"/>
        <w:rPr>
          <w:rFonts w:ascii="黑体" w:hAnsi="黑体" w:eastAsia="黑体"/>
          <w:sz w:val="32"/>
          <w:szCs w:val="32"/>
        </w:rPr>
      </w:pPr>
    </w:p>
    <w:sdt>
      <w:sdtPr>
        <w:tag w:val="NEW_STAND_NAME"/>
        <w:id w:val="595910757"/>
        <w:lock w:val="sdtLocked"/>
        <w:placeholder>
          <w:docPart w:val="61EF255349BF4879A401D1F653C32D58"/>
        </w:placeholder>
      </w:sdtPr>
      <w:sdtContent>
        <w:p w14:paraId="10595DD6">
          <w:pPr>
            <w:pStyle w:val="178"/>
            <w:spacing w:before="240" w:beforeLines="100" w:after="528" w:afterLines="220"/>
          </w:pPr>
          <w:bookmarkStart w:id="29" w:name="NEW_STAND_NAME"/>
          <w:r>
            <w:rPr>
              <w:rFonts w:hint="eastAsia"/>
            </w:rPr>
            <w:t>陆上石油天然气企业安全现状评价导则</w:t>
          </w:r>
        </w:p>
      </w:sdtContent>
    </w:sdt>
    <w:bookmarkEnd w:id="29"/>
    <w:p w14:paraId="20020F03">
      <w:pPr>
        <w:pStyle w:val="105"/>
        <w:spacing w:before="240" w:after="240"/>
      </w:pPr>
      <w:bookmarkStart w:id="30" w:name="_Toc1232"/>
      <w:bookmarkStart w:id="31" w:name="_Toc24884211"/>
      <w:bookmarkStart w:id="32" w:name="_Toc6697"/>
      <w:bookmarkStart w:id="33" w:name="_Toc26986530"/>
      <w:bookmarkStart w:id="34" w:name="_Toc17233333"/>
      <w:bookmarkStart w:id="35" w:name="_Toc22351"/>
      <w:bookmarkStart w:id="36" w:name="_Toc21824"/>
      <w:bookmarkStart w:id="37" w:name="_Toc17233325"/>
      <w:bookmarkStart w:id="38" w:name="_Toc26986771"/>
      <w:bookmarkStart w:id="39" w:name="_Toc7080"/>
      <w:bookmarkStart w:id="40" w:name="_Toc26718930"/>
      <w:bookmarkStart w:id="41" w:name="_Toc97195091"/>
      <w:bookmarkStart w:id="42" w:name="_Toc5473"/>
      <w:bookmarkStart w:id="43" w:name="_Toc26648465"/>
      <w:bookmarkStart w:id="44" w:name="_Toc24884218"/>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6580A4A9">
      <w:pPr>
        <w:pStyle w:val="57"/>
        <w:ind w:firstLine="420"/>
        <w:rPr>
          <w:rFonts w:ascii="宋体" w:hAnsi="宋体" w:cs="宋体"/>
          <w:szCs w:val="21"/>
        </w:rPr>
      </w:pPr>
      <w:bookmarkStart w:id="45" w:name="_Toc26648466"/>
      <w:bookmarkStart w:id="46" w:name="_Toc24884212"/>
      <w:bookmarkStart w:id="47" w:name="_Toc17233334"/>
      <w:bookmarkStart w:id="48" w:name="_Toc17233326"/>
      <w:bookmarkStart w:id="49" w:name="_Toc24884219"/>
      <w:r>
        <w:rPr>
          <w:rFonts w:hint="eastAsia" w:ascii="宋体" w:hAnsi="宋体" w:cs="宋体"/>
          <w:szCs w:val="21"/>
        </w:rPr>
        <w:t>本文件规定了陆上石油天然气企业安全现状评价内容和报告编制的要求。</w:t>
      </w:r>
    </w:p>
    <w:p w14:paraId="72D9F17D">
      <w:pPr>
        <w:pStyle w:val="234"/>
      </w:pPr>
      <w:r>
        <w:rPr>
          <w:rFonts w:hint="eastAsia"/>
        </w:rPr>
        <w:t>本文件适用于从事陆上石油天然气开采</w:t>
      </w:r>
      <w:r>
        <w:rPr>
          <w:rFonts w:hint="eastAsia" w:hAnsi="宋体" w:cs="宋体"/>
          <w:szCs w:val="21"/>
        </w:rPr>
        <w:t>（包括采油、采气、天然气处理、油气藏型地下储气库）</w:t>
      </w:r>
      <w:r>
        <w:rPr>
          <w:rFonts w:hint="eastAsia"/>
        </w:rPr>
        <w:t>以及</w:t>
      </w:r>
      <w:r>
        <w:rPr>
          <w:rFonts w:hint="eastAsia" w:hAnsi="宋体" w:cs="宋体"/>
          <w:szCs w:val="21"/>
        </w:rPr>
        <w:t>物探</w:t>
      </w:r>
      <w:r>
        <w:rPr>
          <w:rFonts w:hint="eastAsia"/>
        </w:rPr>
        <w:t>、钻井、录井、测井、井下作业、油建施工等企业的安全现状评价。</w:t>
      </w:r>
    </w:p>
    <w:p w14:paraId="49DA91B7">
      <w:pPr>
        <w:pStyle w:val="105"/>
        <w:spacing w:before="240" w:after="240"/>
      </w:pPr>
      <w:bookmarkStart w:id="50" w:name="_Toc97195092"/>
      <w:bookmarkStart w:id="51" w:name="_Toc28366"/>
      <w:bookmarkStart w:id="52" w:name="_Toc17388"/>
      <w:bookmarkStart w:id="53" w:name="_Toc19589"/>
      <w:bookmarkStart w:id="54" w:name="_Toc6813"/>
      <w:bookmarkStart w:id="55" w:name="_Toc26986531"/>
      <w:bookmarkStart w:id="56" w:name="_Toc25279"/>
      <w:bookmarkStart w:id="57" w:name="_Toc26986772"/>
      <w:bookmarkStart w:id="58" w:name="_Toc26635"/>
      <w:bookmarkStart w:id="59" w:name="_Toc26718931"/>
      <w:r>
        <w:rPr>
          <w:rFonts w:hint="eastAsia"/>
        </w:rPr>
        <w:t>规范性引用文件</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737276DD">
      <w:pPr>
        <w:pStyle w:val="57"/>
        <w:ind w:firstLine="420"/>
      </w:pPr>
      <w:bookmarkStart w:id="60" w:name="OLE_LINK1"/>
      <w:r>
        <w:rPr>
          <w:rFonts w:hint="eastAsia"/>
        </w:rPr>
        <w:t>本文件没有规范性引用文件。</w:t>
      </w:r>
    </w:p>
    <w:bookmarkEnd w:id="60"/>
    <w:p w14:paraId="59740B30">
      <w:pPr>
        <w:pStyle w:val="105"/>
        <w:spacing w:before="240" w:after="240"/>
      </w:pPr>
      <w:bookmarkStart w:id="61" w:name="_Toc9355"/>
      <w:bookmarkStart w:id="62" w:name="_Toc25261"/>
      <w:bookmarkStart w:id="63" w:name="_Toc19492"/>
      <w:bookmarkStart w:id="64" w:name="_Toc25273"/>
      <w:bookmarkStart w:id="65" w:name="_Toc11609"/>
      <w:r>
        <w:rPr>
          <w:rFonts w:hint="eastAsia"/>
        </w:rPr>
        <w:t>术语和定义</w:t>
      </w:r>
      <w:bookmarkEnd w:id="61"/>
      <w:bookmarkEnd w:id="62"/>
    </w:p>
    <w:p w14:paraId="62949F00">
      <w:pPr>
        <w:pStyle w:val="57"/>
        <w:ind w:firstLine="420"/>
        <w:rPr>
          <w:rFonts w:ascii="Calibri" w:hAnsi="Calibri"/>
          <w:kern w:val="2"/>
          <w:szCs w:val="21"/>
        </w:rPr>
      </w:pPr>
      <w:r>
        <w:rPr>
          <w:rFonts w:hint="eastAsia"/>
        </w:rPr>
        <w:t>本文件没有需要界定的术语和定义。</w:t>
      </w:r>
    </w:p>
    <w:p w14:paraId="70F7AA0A">
      <w:pPr>
        <w:pStyle w:val="105"/>
        <w:spacing w:before="240" w:after="240"/>
      </w:pPr>
      <w:bookmarkStart w:id="66" w:name="_Toc26315"/>
      <w:bookmarkStart w:id="67" w:name="_Toc3470"/>
      <w:r>
        <w:rPr>
          <w:rFonts w:hint="eastAsia"/>
        </w:rPr>
        <w:t>总体要求</w:t>
      </w:r>
      <w:bookmarkEnd w:id="63"/>
      <w:bookmarkEnd w:id="64"/>
      <w:bookmarkEnd w:id="65"/>
      <w:bookmarkEnd w:id="66"/>
      <w:bookmarkEnd w:id="67"/>
    </w:p>
    <w:p w14:paraId="57418D14">
      <w:pPr>
        <w:numPr>
          <w:ilvl w:val="2"/>
          <w:numId w:val="2"/>
        </w:numPr>
        <w:spacing w:line="240" w:lineRule="auto"/>
      </w:pPr>
      <w:bookmarkStart w:id="68" w:name="_Toc17760"/>
      <w:bookmarkStart w:id="69" w:name="_Toc5967"/>
      <w:bookmarkStart w:id="70" w:name="_Toc32007"/>
      <w:r>
        <w:rPr>
          <w:rFonts w:hint="eastAsia"/>
        </w:rPr>
        <w:t>承担陆上石油天然气企业安全现状评价的评价机构，应具备陆地石油和天然气开采业评价资质。</w:t>
      </w:r>
      <w:bookmarkEnd w:id="68"/>
      <w:bookmarkEnd w:id="69"/>
      <w:bookmarkEnd w:id="70"/>
    </w:p>
    <w:p w14:paraId="4D2B843F">
      <w:pPr>
        <w:numPr>
          <w:ilvl w:val="2"/>
          <w:numId w:val="2"/>
        </w:numPr>
        <w:spacing w:line="240" w:lineRule="auto"/>
        <w:rPr>
          <w:rFonts w:ascii="Times New Roman" w:hAnsi="Times New Roman"/>
        </w:rPr>
      </w:pPr>
      <w:r>
        <w:rPr>
          <w:rFonts w:hint="eastAsia"/>
        </w:rPr>
        <w:t>评价机构应根据陆上石油天然气企业特点，选择相应专业的安全评价人员组成评价项目组。</w:t>
      </w:r>
    </w:p>
    <w:p w14:paraId="7FC2FEFC">
      <w:pPr>
        <w:numPr>
          <w:ilvl w:val="2"/>
          <w:numId w:val="2"/>
        </w:numPr>
        <w:spacing w:line="240" w:lineRule="auto"/>
        <w:rPr>
          <w:rFonts w:ascii="Times New Roman" w:hAnsi="Times New Roman"/>
        </w:rPr>
      </w:pPr>
      <w:r>
        <w:rPr>
          <w:rFonts w:hint="eastAsia" w:ascii="Times New Roman" w:hAnsi="Times New Roman"/>
        </w:rPr>
        <w:t>安全现状评价报告应包括：</w:t>
      </w:r>
    </w:p>
    <w:p w14:paraId="1E4E2A3B">
      <w:pPr>
        <w:pStyle w:val="175"/>
      </w:pPr>
      <w:r>
        <w:rPr>
          <w:rFonts w:hint="eastAsia"/>
        </w:rPr>
        <w:t>评价概述；</w:t>
      </w:r>
    </w:p>
    <w:p w14:paraId="1EDE618B">
      <w:pPr>
        <w:pStyle w:val="175"/>
      </w:pPr>
      <w:r>
        <w:rPr>
          <w:rFonts w:hint="eastAsia"/>
        </w:rPr>
        <w:t>企业概况；</w:t>
      </w:r>
    </w:p>
    <w:p w14:paraId="225875FE">
      <w:pPr>
        <w:pStyle w:val="175"/>
      </w:pPr>
      <w:r>
        <w:rPr>
          <w:rFonts w:hint="eastAsia"/>
        </w:rPr>
        <w:t>评价单元划分与评价方法选择；</w:t>
      </w:r>
    </w:p>
    <w:p w14:paraId="730276BD">
      <w:pPr>
        <w:pStyle w:val="175"/>
      </w:pPr>
      <w:r>
        <w:rPr>
          <w:rFonts w:hint="eastAsia"/>
        </w:rPr>
        <w:t>危险有害因素辨识与分析；</w:t>
      </w:r>
    </w:p>
    <w:p w14:paraId="57F102DF">
      <w:pPr>
        <w:pStyle w:val="175"/>
        <w:numPr>
          <w:ilvl w:val="0"/>
          <w:numId w:val="32"/>
        </w:numPr>
      </w:pPr>
      <w:r>
        <w:rPr>
          <w:rFonts w:hint="eastAsia"/>
        </w:rPr>
        <w:t>设备设施及生产作业单元评价；</w:t>
      </w:r>
    </w:p>
    <w:p w14:paraId="699876E4">
      <w:pPr>
        <w:pStyle w:val="175"/>
        <w:numPr>
          <w:ilvl w:val="0"/>
          <w:numId w:val="32"/>
        </w:numPr>
      </w:pPr>
      <w:r>
        <w:rPr>
          <w:rFonts w:hint="eastAsia"/>
        </w:rPr>
        <w:t>安全管理单元评价；</w:t>
      </w:r>
    </w:p>
    <w:p w14:paraId="2C72BB81">
      <w:pPr>
        <w:pStyle w:val="175"/>
      </w:pPr>
      <w:r>
        <w:rPr>
          <w:rFonts w:hint="eastAsia"/>
        </w:rPr>
        <w:t>安全对策措施及建议；</w:t>
      </w:r>
    </w:p>
    <w:p w14:paraId="4BCDF492">
      <w:pPr>
        <w:pStyle w:val="175"/>
      </w:pPr>
      <w:r>
        <w:rPr>
          <w:rFonts w:hint="eastAsia"/>
        </w:rPr>
        <w:t>安全现状评价结论；</w:t>
      </w:r>
    </w:p>
    <w:p w14:paraId="07C92EDC">
      <w:pPr>
        <w:pStyle w:val="175"/>
      </w:pPr>
      <w:r>
        <w:rPr>
          <w:rFonts w:hint="eastAsia"/>
        </w:rPr>
        <w:t>附件与附图。</w:t>
      </w:r>
    </w:p>
    <w:p w14:paraId="32F34BFB">
      <w:pPr>
        <w:numPr>
          <w:ilvl w:val="2"/>
          <w:numId w:val="2"/>
        </w:numPr>
        <w:spacing w:line="240" w:lineRule="auto"/>
      </w:pPr>
      <w:r>
        <w:rPr>
          <w:rFonts w:hint="eastAsia"/>
        </w:rPr>
        <w:t>安全评价机构开展技术服务时，应如实记录工作内容、现场踏勘、隐患问题整改和评价过程会商情况，格式参照附录A。</w:t>
      </w:r>
    </w:p>
    <w:p w14:paraId="6F6311B1">
      <w:pPr>
        <w:pStyle w:val="105"/>
        <w:spacing w:before="240" w:after="240"/>
      </w:pPr>
      <w:bookmarkStart w:id="71" w:name="_Toc21245"/>
      <w:bookmarkStart w:id="72" w:name="_Toc20719"/>
      <w:bookmarkStart w:id="73" w:name="_Toc784"/>
      <w:bookmarkStart w:id="74" w:name="_Toc20194"/>
      <w:bookmarkStart w:id="75" w:name="_Toc25686"/>
      <w:r>
        <w:rPr>
          <w:rFonts w:hint="eastAsia"/>
        </w:rPr>
        <w:t>评价概述</w:t>
      </w:r>
      <w:bookmarkEnd w:id="71"/>
      <w:bookmarkEnd w:id="72"/>
      <w:bookmarkEnd w:id="73"/>
      <w:bookmarkEnd w:id="74"/>
      <w:bookmarkEnd w:id="75"/>
    </w:p>
    <w:p w14:paraId="7FFD5320">
      <w:pPr>
        <w:pStyle w:val="106"/>
        <w:spacing w:before="120" w:after="120"/>
      </w:pPr>
      <w:bookmarkStart w:id="76" w:name="_Toc8373"/>
      <w:bookmarkStart w:id="77" w:name="_Toc537"/>
      <w:bookmarkStart w:id="78" w:name="_Toc13490"/>
      <w:bookmarkStart w:id="79" w:name="_Toc18019"/>
      <w:bookmarkStart w:id="80" w:name="_Toc17661"/>
      <w:r>
        <w:rPr>
          <w:rFonts w:hint="eastAsia"/>
        </w:rPr>
        <w:t>评价目的</w:t>
      </w:r>
      <w:bookmarkEnd w:id="76"/>
      <w:bookmarkEnd w:id="77"/>
      <w:bookmarkEnd w:id="78"/>
      <w:bookmarkEnd w:id="79"/>
      <w:bookmarkEnd w:id="80"/>
    </w:p>
    <w:p w14:paraId="2174BC99">
      <w:pPr>
        <w:pStyle w:val="57"/>
        <w:ind w:firstLine="420"/>
      </w:pPr>
      <w:r>
        <w:rPr>
          <w:rFonts w:hint="eastAsia"/>
        </w:rPr>
        <w:t>评价目的包括：</w:t>
      </w:r>
    </w:p>
    <w:p w14:paraId="0DBED77A">
      <w:pPr>
        <w:pStyle w:val="175"/>
        <w:numPr>
          <w:ilvl w:val="0"/>
          <w:numId w:val="33"/>
        </w:numPr>
      </w:pPr>
      <w:r>
        <w:rPr>
          <w:rFonts w:hint="eastAsia"/>
        </w:rPr>
        <w:t>识别与分析评价对象可能存在的主要危险有害因素；</w:t>
      </w:r>
    </w:p>
    <w:p w14:paraId="76FBECAD">
      <w:pPr>
        <w:pStyle w:val="175"/>
        <w:numPr>
          <w:ilvl w:val="0"/>
          <w:numId w:val="33"/>
        </w:numPr>
      </w:pPr>
      <w:r>
        <w:rPr>
          <w:rFonts w:hint="eastAsia"/>
        </w:rPr>
        <w:t>确定评价对象与</w:t>
      </w:r>
      <w:bookmarkStart w:id="277" w:name="_GoBack"/>
      <w:bookmarkEnd w:id="277"/>
      <w:r>
        <w:rPr>
          <w:rFonts w:hint="eastAsia"/>
        </w:rPr>
        <w:t>安全生产法律法规、部门规章、地方性法规和规范性文件、标准的符合性；</w:t>
      </w:r>
    </w:p>
    <w:p w14:paraId="4E130D59">
      <w:pPr>
        <w:pStyle w:val="175"/>
        <w:numPr>
          <w:ilvl w:val="0"/>
          <w:numId w:val="33"/>
        </w:numPr>
      </w:pPr>
      <w:r>
        <w:rPr>
          <w:rFonts w:hint="eastAsia"/>
        </w:rPr>
        <w:t>提出具体有效的安全对策措施及建议，以提高评价对象的安全生产和安全管理水平。</w:t>
      </w:r>
    </w:p>
    <w:p w14:paraId="39435BD0">
      <w:pPr>
        <w:pStyle w:val="106"/>
        <w:spacing w:before="120" w:after="120"/>
      </w:pPr>
      <w:bookmarkStart w:id="81" w:name="_Toc14021"/>
      <w:bookmarkStart w:id="82" w:name="_Toc21182"/>
      <w:bookmarkStart w:id="83" w:name="_Toc21283"/>
      <w:bookmarkStart w:id="84" w:name="_Toc5799"/>
      <w:bookmarkStart w:id="85" w:name="_Toc1695"/>
      <w:r>
        <w:rPr>
          <w:rFonts w:hint="eastAsia"/>
        </w:rPr>
        <w:t>评价范围</w:t>
      </w:r>
      <w:bookmarkEnd w:id="81"/>
      <w:bookmarkEnd w:id="82"/>
      <w:bookmarkEnd w:id="83"/>
      <w:bookmarkEnd w:id="84"/>
      <w:bookmarkEnd w:id="85"/>
    </w:p>
    <w:p w14:paraId="12F2169A">
      <w:pPr>
        <w:pStyle w:val="57"/>
        <w:ind w:firstLine="420"/>
      </w:pPr>
      <w:r>
        <w:rPr>
          <w:rFonts w:hint="eastAsia"/>
        </w:rPr>
        <w:t>评价范围应涵盖陆上采油（气）、物探、钻井、录井、测井、井下作业、油建等陆上石油天然气企业的设备设施、生产作业活动及安全管理情况。</w:t>
      </w:r>
    </w:p>
    <w:p w14:paraId="52713429">
      <w:pPr>
        <w:pStyle w:val="106"/>
        <w:spacing w:before="120" w:after="120"/>
      </w:pPr>
      <w:bookmarkStart w:id="86" w:name="_Toc26932"/>
      <w:bookmarkStart w:id="87" w:name="_Toc5503"/>
      <w:bookmarkStart w:id="88" w:name="_Toc29250"/>
      <w:bookmarkStart w:id="89" w:name="_Toc8721"/>
      <w:bookmarkStart w:id="90" w:name="_Toc28849"/>
      <w:r>
        <w:rPr>
          <w:rFonts w:hint="eastAsia"/>
        </w:rPr>
        <w:t>评价依据</w:t>
      </w:r>
      <w:bookmarkEnd w:id="86"/>
      <w:bookmarkEnd w:id="87"/>
      <w:bookmarkEnd w:id="88"/>
      <w:bookmarkEnd w:id="89"/>
      <w:bookmarkEnd w:id="90"/>
    </w:p>
    <w:p w14:paraId="07AA9E93">
      <w:pPr>
        <w:pStyle w:val="57"/>
        <w:ind w:firstLine="420"/>
      </w:pPr>
      <w:r>
        <w:rPr>
          <w:rFonts w:hint="eastAsia"/>
        </w:rPr>
        <w:t>评价依据包括以下资料：</w:t>
      </w:r>
    </w:p>
    <w:p w14:paraId="09B1D58B">
      <w:pPr>
        <w:pStyle w:val="175"/>
        <w:numPr>
          <w:ilvl w:val="0"/>
          <w:numId w:val="34"/>
        </w:numPr>
      </w:pPr>
      <w:r>
        <w:rPr>
          <w:rFonts w:hint="eastAsia"/>
        </w:rPr>
        <w:t>国家法律法规、部门规章、地方性法规和规范性文件；</w:t>
      </w:r>
    </w:p>
    <w:p w14:paraId="206B14B0">
      <w:pPr>
        <w:pStyle w:val="175"/>
        <w:numPr>
          <w:ilvl w:val="0"/>
          <w:numId w:val="34"/>
        </w:numPr>
      </w:pPr>
      <w:r>
        <w:rPr>
          <w:rFonts w:hint="eastAsia"/>
        </w:rPr>
        <w:t>国家标准和行业标准；</w:t>
      </w:r>
    </w:p>
    <w:p w14:paraId="0F364BC1">
      <w:pPr>
        <w:pStyle w:val="175"/>
        <w:numPr>
          <w:ilvl w:val="0"/>
          <w:numId w:val="34"/>
        </w:numPr>
      </w:pPr>
      <w:r>
        <w:rPr>
          <w:rFonts w:hint="eastAsia"/>
        </w:rPr>
        <w:t>设备设施、生产作业活动和安全管理资料；</w:t>
      </w:r>
    </w:p>
    <w:p w14:paraId="39A43C7B">
      <w:pPr>
        <w:pStyle w:val="175"/>
        <w:numPr>
          <w:ilvl w:val="0"/>
          <w:numId w:val="34"/>
        </w:numPr>
      </w:pPr>
      <w:r>
        <w:rPr>
          <w:rFonts w:hint="eastAsia"/>
        </w:rPr>
        <w:t>其他相关资料。</w:t>
      </w:r>
    </w:p>
    <w:p w14:paraId="0F8871D9">
      <w:pPr>
        <w:pStyle w:val="106"/>
        <w:spacing w:before="120" w:after="120"/>
      </w:pPr>
      <w:bookmarkStart w:id="91" w:name="_Toc12107"/>
      <w:bookmarkStart w:id="92" w:name="_Toc20002"/>
      <w:bookmarkStart w:id="93" w:name="_Toc8849"/>
      <w:bookmarkStart w:id="94" w:name="_Toc5198"/>
      <w:bookmarkStart w:id="95" w:name="_Toc24635"/>
      <w:r>
        <w:rPr>
          <w:rFonts w:hint="eastAsia"/>
        </w:rPr>
        <w:t>评价程序</w:t>
      </w:r>
      <w:bookmarkEnd w:id="91"/>
      <w:bookmarkEnd w:id="92"/>
      <w:bookmarkEnd w:id="93"/>
      <w:bookmarkEnd w:id="94"/>
      <w:bookmarkEnd w:id="95"/>
    </w:p>
    <w:p w14:paraId="66A0E072">
      <w:pPr>
        <w:pStyle w:val="57"/>
        <w:ind w:firstLine="420"/>
      </w:pPr>
      <w:r>
        <w:rPr>
          <w:rFonts w:hint="eastAsia"/>
        </w:rPr>
        <w:t>安全现状评价程序应包括前期准备、现场踏勘、评价单元划分与评价方法选择、危险有害因素辨识与分析、单元评价、提出安全对策措施及建议、给出安全现状评价结论、编制安全现状评价报告。</w:t>
      </w:r>
    </w:p>
    <w:p w14:paraId="5B8B5961">
      <w:pPr>
        <w:pStyle w:val="105"/>
        <w:spacing w:before="240" w:after="240"/>
      </w:pPr>
      <w:bookmarkStart w:id="96" w:name="_Toc1466"/>
      <w:bookmarkStart w:id="97" w:name="_Toc9313"/>
      <w:bookmarkStart w:id="98" w:name="_Toc30110"/>
      <w:bookmarkStart w:id="99" w:name="_Toc26576"/>
      <w:bookmarkStart w:id="100" w:name="_Toc16165"/>
      <w:r>
        <w:rPr>
          <w:rFonts w:hint="eastAsia"/>
        </w:rPr>
        <w:t>企业概况</w:t>
      </w:r>
      <w:bookmarkEnd w:id="96"/>
      <w:bookmarkEnd w:id="97"/>
      <w:bookmarkEnd w:id="98"/>
      <w:bookmarkEnd w:id="99"/>
      <w:bookmarkEnd w:id="100"/>
    </w:p>
    <w:p w14:paraId="31FD79E6">
      <w:pPr>
        <w:pStyle w:val="106"/>
        <w:spacing w:before="120" w:after="120"/>
      </w:pPr>
      <w:bookmarkStart w:id="101" w:name="_Toc31183"/>
      <w:bookmarkStart w:id="102" w:name="_Toc11270"/>
      <w:bookmarkStart w:id="103" w:name="_Toc518"/>
      <w:bookmarkStart w:id="104" w:name="_Toc25135"/>
      <w:bookmarkStart w:id="105" w:name="_Toc27347"/>
      <w:r>
        <w:rPr>
          <w:rFonts w:hint="eastAsia"/>
        </w:rPr>
        <w:t>基本情况</w:t>
      </w:r>
      <w:bookmarkEnd w:id="101"/>
      <w:bookmarkEnd w:id="102"/>
      <w:bookmarkEnd w:id="103"/>
      <w:bookmarkEnd w:id="104"/>
      <w:bookmarkEnd w:id="105"/>
    </w:p>
    <w:p w14:paraId="3A05CA51">
      <w:pPr>
        <w:pStyle w:val="57"/>
        <w:ind w:firstLine="420"/>
      </w:pPr>
      <w:r>
        <w:rPr>
          <w:rFonts w:hint="eastAsia"/>
        </w:rPr>
        <w:t>应说明评价对象的基本情况，包括但不限于：</w:t>
      </w:r>
    </w:p>
    <w:p w14:paraId="39B33920">
      <w:pPr>
        <w:pStyle w:val="175"/>
        <w:numPr>
          <w:ilvl w:val="0"/>
          <w:numId w:val="35"/>
        </w:numPr>
      </w:pPr>
      <w:r>
        <w:rPr>
          <w:rFonts w:hint="eastAsia"/>
        </w:rPr>
        <w:t>单位名称、单位类型、隶属关系、经营范围；</w:t>
      </w:r>
    </w:p>
    <w:p w14:paraId="6463E28F">
      <w:pPr>
        <w:pStyle w:val="175"/>
        <w:numPr>
          <w:ilvl w:val="0"/>
          <w:numId w:val="35"/>
        </w:numPr>
      </w:pPr>
      <w:r>
        <w:rPr>
          <w:rFonts w:hint="eastAsia"/>
        </w:rPr>
        <w:t>地理位置；</w:t>
      </w:r>
    </w:p>
    <w:p w14:paraId="5829C9E9">
      <w:pPr>
        <w:pStyle w:val="175"/>
        <w:numPr>
          <w:ilvl w:val="0"/>
          <w:numId w:val="35"/>
        </w:numPr>
      </w:pPr>
      <w:r>
        <w:rPr>
          <w:rFonts w:hint="eastAsia"/>
        </w:rPr>
        <w:t>机构设置和人员配置；</w:t>
      </w:r>
    </w:p>
    <w:p w14:paraId="2D058FD6">
      <w:pPr>
        <w:pStyle w:val="175"/>
        <w:numPr>
          <w:ilvl w:val="0"/>
          <w:numId w:val="35"/>
        </w:numPr>
      </w:pPr>
      <w:r>
        <w:rPr>
          <w:rFonts w:hint="eastAsia"/>
        </w:rPr>
        <w:t>生产规模（产能或处理量）。</w:t>
      </w:r>
    </w:p>
    <w:p w14:paraId="2D1E43A6">
      <w:pPr>
        <w:pStyle w:val="106"/>
        <w:spacing w:before="120" w:after="120"/>
      </w:pPr>
      <w:bookmarkStart w:id="106" w:name="_Toc31480"/>
      <w:bookmarkStart w:id="107" w:name="_Toc13202"/>
      <w:bookmarkStart w:id="108" w:name="_Toc14367"/>
      <w:bookmarkStart w:id="109" w:name="_Toc25851"/>
      <w:bookmarkStart w:id="110" w:name="_Toc14705"/>
      <w:r>
        <w:rPr>
          <w:rFonts w:hint="eastAsia"/>
        </w:rPr>
        <w:t>自然和社会环境概况</w:t>
      </w:r>
      <w:bookmarkEnd w:id="106"/>
      <w:bookmarkEnd w:id="107"/>
      <w:bookmarkEnd w:id="108"/>
      <w:bookmarkEnd w:id="109"/>
      <w:bookmarkEnd w:id="110"/>
    </w:p>
    <w:p w14:paraId="57BC5D3E">
      <w:pPr>
        <w:pStyle w:val="57"/>
        <w:ind w:firstLine="420"/>
      </w:pPr>
      <w:r>
        <w:rPr>
          <w:rFonts w:hint="eastAsia"/>
        </w:rPr>
        <w:t>应说明评价对象所在地的自然环境和周边社会环境，包括但不限于：</w:t>
      </w:r>
    </w:p>
    <w:p w14:paraId="3DE2FDD3">
      <w:pPr>
        <w:pStyle w:val="175"/>
        <w:numPr>
          <w:ilvl w:val="0"/>
          <w:numId w:val="36"/>
        </w:numPr>
      </w:pPr>
      <w:r>
        <w:rPr>
          <w:rFonts w:hint="eastAsia"/>
        </w:rPr>
        <w:t>气象条件、地形地貌、水文条件、地质条件和抗震设防烈度；</w:t>
      </w:r>
    </w:p>
    <w:p w14:paraId="1424B318">
      <w:pPr>
        <w:pStyle w:val="175"/>
        <w:numPr>
          <w:ilvl w:val="0"/>
          <w:numId w:val="36"/>
        </w:numPr>
      </w:pPr>
      <w:r>
        <w:rPr>
          <w:rFonts w:hint="eastAsia"/>
        </w:rPr>
        <w:t>人文环境、交通运输；</w:t>
      </w:r>
    </w:p>
    <w:p w14:paraId="44A8A760">
      <w:pPr>
        <w:pStyle w:val="175"/>
        <w:numPr>
          <w:ilvl w:val="0"/>
          <w:numId w:val="36"/>
        </w:numPr>
      </w:pPr>
      <w:r>
        <w:rPr>
          <w:rFonts w:hint="eastAsia"/>
        </w:rPr>
        <w:t>周边人居、企事业单位及敏感设施等。</w:t>
      </w:r>
    </w:p>
    <w:p w14:paraId="4C86A4D1">
      <w:pPr>
        <w:pStyle w:val="106"/>
        <w:spacing w:before="120" w:after="120"/>
      </w:pPr>
      <w:bookmarkStart w:id="111" w:name="_Toc15348"/>
      <w:bookmarkStart w:id="112" w:name="_Toc24793"/>
      <w:bookmarkStart w:id="113" w:name="_Toc27156"/>
      <w:bookmarkStart w:id="114" w:name="_Toc18575"/>
      <w:bookmarkStart w:id="115" w:name="_Toc14995"/>
      <w:r>
        <w:rPr>
          <w:rFonts w:hint="eastAsia"/>
        </w:rPr>
        <w:t>设备设施及生产作业现状</w:t>
      </w:r>
      <w:bookmarkEnd w:id="111"/>
      <w:bookmarkEnd w:id="112"/>
      <w:bookmarkEnd w:id="113"/>
      <w:bookmarkEnd w:id="114"/>
      <w:bookmarkEnd w:id="115"/>
    </w:p>
    <w:p w14:paraId="55253EA1">
      <w:pPr>
        <w:pStyle w:val="66"/>
        <w:spacing w:before="120" w:after="120"/>
      </w:pPr>
      <w:bookmarkStart w:id="116" w:name="_Toc4695"/>
      <w:bookmarkStart w:id="117" w:name="_Toc29697"/>
      <w:bookmarkStart w:id="118" w:name="_Toc913"/>
      <w:bookmarkStart w:id="119" w:name="_Toc6778"/>
      <w:bookmarkStart w:id="120" w:name="_Toc16406"/>
      <w:bookmarkStart w:id="121" w:name="_Toc1062"/>
      <w:bookmarkStart w:id="122" w:name="_Toc14845"/>
      <w:r>
        <w:rPr>
          <w:rFonts w:hint="eastAsia"/>
        </w:rPr>
        <w:t>陆上采油（气）</w:t>
      </w:r>
      <w:bookmarkEnd w:id="116"/>
      <w:bookmarkEnd w:id="117"/>
      <w:bookmarkEnd w:id="118"/>
      <w:bookmarkEnd w:id="119"/>
      <w:bookmarkEnd w:id="120"/>
      <w:bookmarkEnd w:id="121"/>
      <w:bookmarkEnd w:id="122"/>
    </w:p>
    <w:p w14:paraId="2CC241B5">
      <w:pPr>
        <w:pStyle w:val="57"/>
        <w:ind w:firstLine="420"/>
      </w:pPr>
      <w:r>
        <w:rPr>
          <w:rFonts w:hint="eastAsia"/>
        </w:rPr>
        <w:t>应说明陆上采油（气）设备设施和生产作业现状。</w:t>
      </w:r>
    </w:p>
    <w:p w14:paraId="4A2CA9F5">
      <w:pPr>
        <w:pStyle w:val="175"/>
        <w:numPr>
          <w:ilvl w:val="0"/>
          <w:numId w:val="37"/>
        </w:numPr>
      </w:pPr>
      <w:r>
        <w:rPr>
          <w:rFonts w:hint="eastAsia"/>
        </w:rPr>
        <w:t>应说明采油（气）工程现状，包括但不限于：</w:t>
      </w:r>
    </w:p>
    <w:p w14:paraId="7941E60E">
      <w:pPr>
        <w:pStyle w:val="110"/>
      </w:pPr>
      <w:r>
        <w:rPr>
          <w:rFonts w:hint="eastAsia"/>
        </w:rPr>
        <w:t>采油（气）开采现状；</w:t>
      </w:r>
    </w:p>
    <w:p w14:paraId="2174F6B7">
      <w:pPr>
        <w:pStyle w:val="110"/>
      </w:pPr>
      <w:r>
        <w:rPr>
          <w:rFonts w:hint="eastAsia"/>
        </w:rPr>
        <w:t>采油（气）工艺参数；</w:t>
      </w:r>
    </w:p>
    <w:p w14:paraId="4AE0FCA0">
      <w:pPr>
        <w:pStyle w:val="110"/>
      </w:pPr>
      <w:r>
        <w:rPr>
          <w:rFonts w:hint="eastAsia"/>
        </w:rPr>
        <w:t>采油（气）装置。</w:t>
      </w:r>
    </w:p>
    <w:p w14:paraId="568D4309">
      <w:pPr>
        <w:pStyle w:val="175"/>
        <w:numPr>
          <w:ilvl w:val="0"/>
          <w:numId w:val="37"/>
        </w:numPr>
      </w:pPr>
      <w:r>
        <w:rPr>
          <w:rFonts w:hint="eastAsia"/>
        </w:rPr>
        <w:t>应说明注入工程现状，包括但不限于：</w:t>
      </w:r>
    </w:p>
    <w:p w14:paraId="47B32EAF">
      <w:pPr>
        <w:pStyle w:val="110"/>
        <w:numPr>
          <w:ilvl w:val="1"/>
          <w:numId w:val="38"/>
        </w:numPr>
      </w:pPr>
      <w:r>
        <w:rPr>
          <w:rFonts w:hint="eastAsia"/>
        </w:rPr>
        <w:t>注入工艺、注入井、注入量、注入介质来源、压力以及组成等；</w:t>
      </w:r>
    </w:p>
    <w:p w14:paraId="4BD41B41">
      <w:pPr>
        <w:pStyle w:val="110"/>
        <w:numPr>
          <w:ilvl w:val="1"/>
          <w:numId w:val="38"/>
        </w:numPr>
      </w:pPr>
      <w:r>
        <w:rPr>
          <w:rFonts w:hint="eastAsia"/>
        </w:rPr>
        <w:t>注入站、注入剂配制站、配注站等站场地理位置、平面布置、工艺流程、设备设施；</w:t>
      </w:r>
    </w:p>
    <w:p w14:paraId="2EA997FC">
      <w:pPr>
        <w:pStyle w:val="110"/>
        <w:numPr>
          <w:ilvl w:val="1"/>
          <w:numId w:val="38"/>
        </w:numPr>
      </w:pPr>
      <w:r>
        <w:rPr>
          <w:rFonts w:hint="eastAsia"/>
        </w:rPr>
        <w:t>注入管道线路走向、穿（跨）越、材质、规格、管道附件、敷设、附属设施等；</w:t>
      </w:r>
    </w:p>
    <w:p w14:paraId="5300C583">
      <w:pPr>
        <w:pStyle w:val="110"/>
        <w:numPr>
          <w:ilvl w:val="1"/>
          <w:numId w:val="38"/>
        </w:numPr>
      </w:pPr>
      <w:r>
        <w:rPr>
          <w:rFonts w:hint="eastAsia"/>
        </w:rPr>
        <w:t>其他三次采油和提高采收率技术工艺、设备设施。</w:t>
      </w:r>
    </w:p>
    <w:p w14:paraId="4378B095">
      <w:pPr>
        <w:pStyle w:val="175"/>
        <w:numPr>
          <w:ilvl w:val="0"/>
          <w:numId w:val="37"/>
        </w:numPr>
      </w:pPr>
      <w:r>
        <w:rPr>
          <w:rFonts w:hint="eastAsia"/>
        </w:rPr>
        <w:t>应说明原油及伴生气集输、处理与储运工程现状，包括但不限于：</w:t>
      </w:r>
    </w:p>
    <w:p w14:paraId="34BFED3B">
      <w:pPr>
        <w:pStyle w:val="110"/>
        <w:numPr>
          <w:ilvl w:val="1"/>
          <w:numId w:val="39"/>
        </w:numPr>
      </w:pPr>
      <w:r>
        <w:rPr>
          <w:rFonts w:hint="eastAsia"/>
        </w:rPr>
        <w:t>介质理化性能和处理量、温度、压力等运行参数；</w:t>
      </w:r>
    </w:p>
    <w:p w14:paraId="34AA7697">
      <w:pPr>
        <w:pStyle w:val="110"/>
        <w:numPr>
          <w:ilvl w:val="1"/>
          <w:numId w:val="39"/>
        </w:numPr>
      </w:pPr>
      <w:r>
        <w:rPr>
          <w:rFonts w:hint="eastAsia"/>
        </w:rPr>
        <w:t>集输油站库、伴生气回收场地理位置、平面布置、工艺流程、设备设施；</w:t>
      </w:r>
    </w:p>
    <w:p w14:paraId="4C9489E6">
      <w:pPr>
        <w:pStyle w:val="110"/>
        <w:numPr>
          <w:ilvl w:val="1"/>
          <w:numId w:val="39"/>
        </w:numPr>
      </w:pPr>
      <w:r>
        <w:rPr>
          <w:rFonts w:hint="eastAsia"/>
        </w:rPr>
        <w:t>集输管道线路走向、穿（跨）越、管材、管径、壁厚、管道附件、敷设、附属设施等。</w:t>
      </w:r>
    </w:p>
    <w:p w14:paraId="5196083E">
      <w:pPr>
        <w:pStyle w:val="175"/>
        <w:numPr>
          <w:ilvl w:val="0"/>
          <w:numId w:val="37"/>
        </w:numPr>
      </w:pPr>
      <w:r>
        <w:rPr>
          <w:rFonts w:hint="eastAsia"/>
        </w:rPr>
        <w:t>应说明天然气集输、处理与储运工程现状，包括但不限于：</w:t>
      </w:r>
    </w:p>
    <w:p w14:paraId="6C65BC58">
      <w:pPr>
        <w:pStyle w:val="110"/>
        <w:numPr>
          <w:ilvl w:val="1"/>
          <w:numId w:val="40"/>
        </w:numPr>
      </w:pPr>
      <w:r>
        <w:rPr>
          <w:rFonts w:hint="eastAsia"/>
        </w:rPr>
        <w:t>天然气组分及物性参数；</w:t>
      </w:r>
    </w:p>
    <w:p w14:paraId="04EA9E4B">
      <w:pPr>
        <w:pStyle w:val="110"/>
        <w:numPr>
          <w:ilvl w:val="1"/>
          <w:numId w:val="40"/>
        </w:numPr>
      </w:pPr>
      <w:r>
        <w:rPr>
          <w:rFonts w:hint="eastAsia"/>
        </w:rPr>
        <w:t>集输气站、处理厂、储气库注采站地理位置、平面布置、工艺流程、设备设施；</w:t>
      </w:r>
    </w:p>
    <w:p w14:paraId="7D25EE7D">
      <w:pPr>
        <w:pStyle w:val="110"/>
        <w:numPr>
          <w:ilvl w:val="1"/>
          <w:numId w:val="40"/>
        </w:numPr>
      </w:pPr>
      <w:r>
        <w:rPr>
          <w:rFonts w:hint="eastAsia"/>
        </w:rPr>
        <w:t>储气库库容、运行压力、运行周期等；</w:t>
      </w:r>
    </w:p>
    <w:p w14:paraId="31417707">
      <w:pPr>
        <w:pStyle w:val="110"/>
        <w:numPr>
          <w:ilvl w:val="1"/>
          <w:numId w:val="40"/>
        </w:numPr>
      </w:pPr>
      <w:r>
        <w:rPr>
          <w:rFonts w:hint="eastAsia"/>
        </w:rPr>
        <w:t>储气库地理位置、平面布置、设备设施、注汽工艺、采气工艺、辅助工艺流程；</w:t>
      </w:r>
    </w:p>
    <w:p w14:paraId="63E5D0A0">
      <w:pPr>
        <w:pStyle w:val="110"/>
        <w:numPr>
          <w:ilvl w:val="1"/>
          <w:numId w:val="40"/>
        </w:numPr>
      </w:pPr>
      <w:r>
        <w:rPr>
          <w:rFonts w:hint="eastAsia"/>
        </w:rPr>
        <w:t>储气库注采管线、输气管线走向、穿（跨）越、管材、管径、壁厚、管道附件、敷设、附属设施等。</w:t>
      </w:r>
    </w:p>
    <w:p w14:paraId="5A073D33">
      <w:pPr>
        <w:pStyle w:val="175"/>
        <w:numPr>
          <w:ilvl w:val="0"/>
          <w:numId w:val="37"/>
        </w:numPr>
      </w:pPr>
      <w:r>
        <w:rPr>
          <w:rFonts w:hint="eastAsia"/>
        </w:rPr>
        <w:t>应说明采出水处理工程现状，包括但不限于：</w:t>
      </w:r>
    </w:p>
    <w:p w14:paraId="4186820B">
      <w:pPr>
        <w:pStyle w:val="110"/>
        <w:numPr>
          <w:ilvl w:val="1"/>
          <w:numId w:val="41"/>
        </w:numPr>
      </w:pPr>
      <w:r>
        <w:rPr>
          <w:rFonts w:hint="eastAsia"/>
        </w:rPr>
        <w:t>采出水处理现状及依托条件；</w:t>
      </w:r>
    </w:p>
    <w:p w14:paraId="51241FAD">
      <w:pPr>
        <w:pStyle w:val="110"/>
        <w:numPr>
          <w:ilvl w:val="1"/>
          <w:numId w:val="41"/>
        </w:numPr>
      </w:pPr>
      <w:r>
        <w:rPr>
          <w:rFonts w:hint="eastAsia"/>
        </w:rPr>
        <w:t>采出水处理站地理位置、平面布置、处理量、运行参数、工艺流程、设备设施；</w:t>
      </w:r>
    </w:p>
    <w:p w14:paraId="41ED382D">
      <w:pPr>
        <w:pStyle w:val="110"/>
        <w:numPr>
          <w:ilvl w:val="1"/>
          <w:numId w:val="41"/>
        </w:numPr>
      </w:pPr>
      <w:r>
        <w:rPr>
          <w:rFonts w:hint="eastAsia"/>
        </w:rPr>
        <w:t>采出水管道线路走向、穿（跨）越、管材、管径、壁厚、管道附件、敷设、附属设施等。</w:t>
      </w:r>
    </w:p>
    <w:p w14:paraId="16BCFE05">
      <w:pPr>
        <w:pStyle w:val="175"/>
        <w:numPr>
          <w:ilvl w:val="0"/>
          <w:numId w:val="37"/>
        </w:numPr>
      </w:pPr>
      <w:r>
        <w:rPr>
          <w:rFonts w:hint="eastAsia"/>
        </w:rPr>
        <w:t>应说明公用工程及辅助生产设施现状，包括但不限于：</w:t>
      </w:r>
    </w:p>
    <w:p w14:paraId="070BAE74">
      <w:pPr>
        <w:pStyle w:val="110"/>
        <w:numPr>
          <w:ilvl w:val="1"/>
          <w:numId w:val="33"/>
        </w:numPr>
      </w:pPr>
      <w:bookmarkStart w:id="123" w:name="_Toc192248367"/>
      <w:bookmarkStart w:id="124" w:name="_Toc185511140"/>
      <w:r>
        <w:rPr>
          <w:rFonts w:hint="eastAsia"/>
        </w:rPr>
        <w:t>供配电（包括新能源接入系统）；</w:t>
      </w:r>
    </w:p>
    <w:p w14:paraId="4C9E47B2">
      <w:pPr>
        <w:pStyle w:val="110"/>
        <w:numPr>
          <w:ilvl w:val="1"/>
          <w:numId w:val="33"/>
        </w:numPr>
      </w:pPr>
      <w:r>
        <w:rPr>
          <w:rFonts w:hint="eastAsia"/>
        </w:rPr>
        <w:t>自控系统；</w:t>
      </w:r>
    </w:p>
    <w:p w14:paraId="674E72C4">
      <w:pPr>
        <w:pStyle w:val="110"/>
        <w:numPr>
          <w:ilvl w:val="1"/>
          <w:numId w:val="33"/>
        </w:numPr>
      </w:pPr>
      <w:r>
        <w:rPr>
          <w:rFonts w:hint="eastAsia"/>
        </w:rPr>
        <w:t>通信系统；</w:t>
      </w:r>
    </w:p>
    <w:p w14:paraId="0B2B5AB8">
      <w:pPr>
        <w:pStyle w:val="110"/>
        <w:numPr>
          <w:ilvl w:val="1"/>
          <w:numId w:val="33"/>
        </w:numPr>
      </w:pPr>
      <w:r>
        <w:rPr>
          <w:rFonts w:hint="eastAsia"/>
        </w:rPr>
        <w:t>防腐与保温；</w:t>
      </w:r>
    </w:p>
    <w:p w14:paraId="7CD4F296">
      <w:pPr>
        <w:pStyle w:val="110"/>
        <w:numPr>
          <w:ilvl w:val="1"/>
          <w:numId w:val="33"/>
        </w:numPr>
      </w:pPr>
      <w:r>
        <w:rPr>
          <w:rFonts w:hint="eastAsia"/>
        </w:rPr>
        <w:t>给排水及消防；</w:t>
      </w:r>
    </w:p>
    <w:p w14:paraId="62C91601">
      <w:pPr>
        <w:pStyle w:val="110"/>
        <w:numPr>
          <w:ilvl w:val="1"/>
          <w:numId w:val="33"/>
        </w:numPr>
      </w:pPr>
      <w:r>
        <w:rPr>
          <w:rFonts w:hint="eastAsia"/>
        </w:rPr>
        <w:t>供热与通风；</w:t>
      </w:r>
    </w:p>
    <w:p w14:paraId="546AB2AC">
      <w:pPr>
        <w:pStyle w:val="110"/>
        <w:numPr>
          <w:ilvl w:val="1"/>
          <w:numId w:val="33"/>
        </w:numPr>
      </w:pPr>
      <w:r>
        <w:rPr>
          <w:rFonts w:hint="eastAsia"/>
        </w:rPr>
        <w:t>建筑与结构</w:t>
      </w:r>
      <w:bookmarkEnd w:id="123"/>
      <w:bookmarkEnd w:id="124"/>
      <w:r>
        <w:rPr>
          <w:rFonts w:hint="eastAsia"/>
        </w:rPr>
        <w:t>。</w:t>
      </w:r>
    </w:p>
    <w:p w14:paraId="33660188">
      <w:pPr>
        <w:pStyle w:val="66"/>
        <w:spacing w:before="120" w:after="120"/>
      </w:pPr>
      <w:bookmarkStart w:id="125" w:name="_Toc10599"/>
      <w:r>
        <w:rPr>
          <w:rFonts w:hint="eastAsia"/>
        </w:rPr>
        <w:t>物探、钻井、录井、测井、井下作业、油建</w:t>
      </w:r>
      <w:bookmarkEnd w:id="125"/>
    </w:p>
    <w:p w14:paraId="2491AE04">
      <w:pPr>
        <w:pStyle w:val="57"/>
        <w:ind w:firstLine="420"/>
      </w:pPr>
      <w:r>
        <w:rPr>
          <w:rFonts w:hint="eastAsia"/>
        </w:rPr>
        <w:t>应说明自有设备设施和生产作业现状，包括但不限于：</w:t>
      </w:r>
    </w:p>
    <w:p w14:paraId="721B4651">
      <w:pPr>
        <w:pStyle w:val="175"/>
        <w:numPr>
          <w:ilvl w:val="0"/>
          <w:numId w:val="42"/>
        </w:numPr>
      </w:pPr>
      <w:r>
        <w:rPr>
          <w:rFonts w:hint="eastAsia"/>
        </w:rPr>
        <w:t>主要设备设施；</w:t>
      </w:r>
    </w:p>
    <w:p w14:paraId="57D9C28F">
      <w:pPr>
        <w:pStyle w:val="175"/>
        <w:numPr>
          <w:ilvl w:val="0"/>
          <w:numId w:val="42"/>
        </w:numPr>
      </w:pPr>
      <w:r>
        <w:rPr>
          <w:rFonts w:hint="eastAsia"/>
        </w:rPr>
        <w:t>施工作业流程；</w:t>
      </w:r>
    </w:p>
    <w:p w14:paraId="5456285E">
      <w:pPr>
        <w:pStyle w:val="175"/>
        <w:numPr>
          <w:ilvl w:val="0"/>
          <w:numId w:val="42"/>
        </w:numPr>
      </w:pPr>
      <w:r>
        <w:rPr>
          <w:rFonts w:hint="eastAsia"/>
        </w:rPr>
        <w:t>施工作业队伍；</w:t>
      </w:r>
    </w:p>
    <w:p w14:paraId="6BF37FB4">
      <w:pPr>
        <w:pStyle w:val="175"/>
        <w:numPr>
          <w:ilvl w:val="0"/>
          <w:numId w:val="42"/>
        </w:numPr>
      </w:pPr>
      <w:r>
        <w:rPr>
          <w:rFonts w:hint="eastAsia"/>
        </w:rPr>
        <w:t>供配电、消防、作业现场生活及办公保障等公用工程。</w:t>
      </w:r>
    </w:p>
    <w:p w14:paraId="34F75581">
      <w:pPr>
        <w:pStyle w:val="106"/>
        <w:spacing w:before="120" w:after="120"/>
      </w:pPr>
      <w:bookmarkStart w:id="126" w:name="_Toc8161"/>
      <w:bookmarkStart w:id="127" w:name="_Toc23088"/>
      <w:bookmarkStart w:id="128" w:name="_Toc6788"/>
      <w:bookmarkStart w:id="129" w:name="_Toc11429"/>
      <w:bookmarkStart w:id="130" w:name="_Toc7494"/>
      <w:r>
        <w:rPr>
          <w:rFonts w:hint="eastAsia"/>
        </w:rPr>
        <w:t>安全管理现状</w:t>
      </w:r>
      <w:bookmarkEnd w:id="126"/>
      <w:bookmarkEnd w:id="127"/>
      <w:bookmarkEnd w:id="128"/>
      <w:bookmarkEnd w:id="129"/>
      <w:bookmarkEnd w:id="130"/>
    </w:p>
    <w:p w14:paraId="702C38B1">
      <w:pPr>
        <w:pStyle w:val="57"/>
        <w:ind w:firstLine="420"/>
      </w:pPr>
      <w:r>
        <w:rPr>
          <w:rFonts w:hint="eastAsia"/>
        </w:rPr>
        <w:t>应说明企业生产运行和安全管理情况：</w:t>
      </w:r>
    </w:p>
    <w:p w14:paraId="13275D9D">
      <w:pPr>
        <w:pStyle w:val="175"/>
        <w:numPr>
          <w:ilvl w:val="0"/>
          <w:numId w:val="43"/>
        </w:numPr>
      </w:pPr>
      <w:r>
        <w:rPr>
          <w:rFonts w:hint="eastAsia"/>
        </w:rPr>
        <w:t>企业安全生产管理机构设置、专职与兼职安全管理人员配备；</w:t>
      </w:r>
    </w:p>
    <w:p w14:paraId="7D8B4811">
      <w:pPr>
        <w:pStyle w:val="175"/>
        <w:numPr>
          <w:ilvl w:val="0"/>
          <w:numId w:val="43"/>
        </w:numPr>
      </w:pPr>
      <w:r>
        <w:rPr>
          <w:rFonts w:hint="eastAsia"/>
        </w:rPr>
        <w:t>全员安全生产责任制、安全管理制度和操作规程的制定；</w:t>
      </w:r>
    </w:p>
    <w:p w14:paraId="57E72986">
      <w:pPr>
        <w:pStyle w:val="175"/>
        <w:numPr>
          <w:ilvl w:val="0"/>
          <w:numId w:val="43"/>
        </w:numPr>
      </w:pPr>
      <w:r>
        <w:rPr>
          <w:rFonts w:hint="eastAsia"/>
        </w:rPr>
        <w:t>安全培训及持证上岗；</w:t>
      </w:r>
    </w:p>
    <w:p w14:paraId="47BC7716">
      <w:pPr>
        <w:pStyle w:val="175"/>
        <w:numPr>
          <w:ilvl w:val="0"/>
          <w:numId w:val="43"/>
        </w:numPr>
      </w:pPr>
      <w:r>
        <w:rPr>
          <w:rFonts w:hint="eastAsia"/>
        </w:rPr>
        <w:t>安全生产费用提取使用；</w:t>
      </w:r>
    </w:p>
    <w:p w14:paraId="7FD6654B">
      <w:pPr>
        <w:pStyle w:val="175"/>
        <w:numPr>
          <w:ilvl w:val="0"/>
          <w:numId w:val="43"/>
        </w:numPr>
      </w:pPr>
      <w:r>
        <w:rPr>
          <w:rFonts w:hint="eastAsia"/>
        </w:rPr>
        <w:t>员工工伤保险、安全生产责任险缴纳；</w:t>
      </w:r>
    </w:p>
    <w:p w14:paraId="54BA410F">
      <w:pPr>
        <w:pStyle w:val="175"/>
        <w:numPr>
          <w:ilvl w:val="0"/>
          <w:numId w:val="43"/>
        </w:numPr>
      </w:pPr>
      <w:r>
        <w:rPr>
          <w:rFonts w:hint="eastAsia"/>
        </w:rPr>
        <w:t>员工个体安全防护用品的配置；</w:t>
      </w:r>
    </w:p>
    <w:p w14:paraId="68F2C9C5">
      <w:pPr>
        <w:pStyle w:val="175"/>
        <w:numPr>
          <w:ilvl w:val="0"/>
          <w:numId w:val="43"/>
        </w:numPr>
      </w:pPr>
      <w:r>
        <w:rPr>
          <w:rFonts w:hint="eastAsia"/>
        </w:rPr>
        <w:t>企业安全风险分级管控和隐患排查治理双重预防机制的建立；</w:t>
      </w:r>
    </w:p>
    <w:p w14:paraId="64DA75CA">
      <w:pPr>
        <w:pStyle w:val="175"/>
        <w:numPr>
          <w:ilvl w:val="0"/>
          <w:numId w:val="43"/>
        </w:numPr>
      </w:pPr>
      <w:r>
        <w:rPr>
          <w:rFonts w:hint="eastAsia"/>
        </w:rPr>
        <w:t>现场作业、承包商、变更管理；</w:t>
      </w:r>
    </w:p>
    <w:p w14:paraId="26B45A6F">
      <w:pPr>
        <w:pStyle w:val="175"/>
        <w:numPr>
          <w:ilvl w:val="0"/>
          <w:numId w:val="43"/>
        </w:numPr>
      </w:pPr>
      <w:r>
        <w:rPr>
          <w:rFonts w:hint="eastAsia"/>
        </w:rPr>
        <w:t>事故应急预案的建立、培训、演练；</w:t>
      </w:r>
    </w:p>
    <w:p w14:paraId="46F68F92">
      <w:pPr>
        <w:pStyle w:val="175"/>
        <w:numPr>
          <w:ilvl w:val="0"/>
          <w:numId w:val="43"/>
        </w:numPr>
      </w:pPr>
      <w:r>
        <w:rPr>
          <w:rFonts w:hint="eastAsia"/>
        </w:rPr>
        <w:t>应急物资配备；</w:t>
      </w:r>
    </w:p>
    <w:p w14:paraId="24E6B5B8">
      <w:pPr>
        <w:pStyle w:val="175"/>
        <w:numPr>
          <w:ilvl w:val="0"/>
          <w:numId w:val="43"/>
        </w:numPr>
      </w:pPr>
      <w:r>
        <w:rPr>
          <w:rFonts w:hint="eastAsia"/>
        </w:rPr>
        <w:t>企业近三年生产安全事故（含未遂事件）、安全生产标准化建设等级及近三年检查发现主要问题的整改。</w:t>
      </w:r>
    </w:p>
    <w:p w14:paraId="2F798BA0">
      <w:pPr>
        <w:pStyle w:val="106"/>
        <w:keepNext/>
        <w:spacing w:before="120" w:after="120"/>
      </w:pPr>
      <w:bookmarkStart w:id="131" w:name="_Toc10686"/>
      <w:bookmarkStart w:id="132" w:name="_Toc18483"/>
      <w:bookmarkStart w:id="133" w:name="_Toc10606"/>
      <w:bookmarkStart w:id="134" w:name="_Toc16302"/>
      <w:bookmarkStart w:id="135" w:name="_Toc11700"/>
      <w:r>
        <w:rPr>
          <w:rFonts w:hint="eastAsia"/>
        </w:rPr>
        <w:t>变更情况</w:t>
      </w:r>
      <w:bookmarkEnd w:id="131"/>
      <w:bookmarkEnd w:id="132"/>
      <w:bookmarkEnd w:id="133"/>
      <w:bookmarkEnd w:id="134"/>
      <w:bookmarkEnd w:id="135"/>
    </w:p>
    <w:p w14:paraId="38ACC128">
      <w:pPr>
        <w:pStyle w:val="57"/>
        <w:ind w:firstLine="420"/>
      </w:pPr>
      <w:r>
        <w:rPr>
          <w:rFonts w:hint="eastAsia"/>
        </w:rPr>
        <w:t>说明近三年企业主要变化，包括组织机构、主要负责人、营业范围、经营规模、新改扩建、工艺技术、设备设施等。</w:t>
      </w:r>
    </w:p>
    <w:p w14:paraId="1989D364">
      <w:pPr>
        <w:pStyle w:val="105"/>
        <w:spacing w:before="240" w:after="240"/>
      </w:pPr>
      <w:bookmarkStart w:id="136" w:name="_Toc9154"/>
      <w:bookmarkStart w:id="137" w:name="_Toc18140"/>
      <w:bookmarkStart w:id="138" w:name="_Toc1230"/>
      <w:bookmarkStart w:id="139" w:name="_Toc32535"/>
      <w:bookmarkStart w:id="140" w:name="_Toc20541"/>
      <w:bookmarkStart w:id="141" w:name="_Toc31411"/>
      <w:bookmarkStart w:id="142" w:name="_Toc2589"/>
      <w:bookmarkStart w:id="143" w:name="_Toc10097"/>
      <w:bookmarkStart w:id="144" w:name="_Toc8113"/>
      <w:r>
        <w:rPr>
          <w:rFonts w:hint="eastAsia"/>
        </w:rPr>
        <w:t>评价单元划分与评价方法选择</w:t>
      </w:r>
      <w:bookmarkEnd w:id="136"/>
      <w:bookmarkEnd w:id="137"/>
      <w:bookmarkEnd w:id="138"/>
      <w:bookmarkEnd w:id="139"/>
      <w:bookmarkEnd w:id="140"/>
    </w:p>
    <w:p w14:paraId="5B90EFAC">
      <w:pPr>
        <w:pStyle w:val="106"/>
        <w:spacing w:before="120" w:after="120"/>
      </w:pPr>
      <w:bookmarkStart w:id="145" w:name="_Toc27149"/>
      <w:bookmarkStart w:id="146" w:name="_Toc7978"/>
      <w:bookmarkStart w:id="147" w:name="_Toc32717"/>
      <w:bookmarkStart w:id="148" w:name="_Toc21975"/>
      <w:bookmarkStart w:id="149" w:name="_Toc2074"/>
      <w:r>
        <w:rPr>
          <w:rFonts w:hint="eastAsia"/>
        </w:rPr>
        <w:t>评价单元</w:t>
      </w:r>
      <w:bookmarkEnd w:id="145"/>
      <w:bookmarkEnd w:id="146"/>
      <w:bookmarkEnd w:id="147"/>
      <w:bookmarkEnd w:id="148"/>
      <w:r>
        <w:rPr>
          <w:rFonts w:hint="eastAsia"/>
        </w:rPr>
        <w:t>划分</w:t>
      </w:r>
      <w:bookmarkEnd w:id="149"/>
    </w:p>
    <w:p w14:paraId="1372433E">
      <w:pPr>
        <w:pStyle w:val="166"/>
      </w:pPr>
      <w:r>
        <w:rPr>
          <w:rFonts w:hint="eastAsia"/>
        </w:rPr>
        <w:t>依据系统分解原理，按照先分解、再综合的原则，对评价对象合理划分评价单元，各个单元相对独立具有明显特征界限，并能够覆盖全部评价范围。</w:t>
      </w:r>
    </w:p>
    <w:p w14:paraId="473342CE">
      <w:pPr>
        <w:pStyle w:val="166"/>
      </w:pPr>
      <w:r>
        <w:rPr>
          <w:rFonts w:hint="eastAsia"/>
        </w:rPr>
        <w:t>结合评价对象的风险和特点，一般划分为以下单元，根据评价单元具体情况和特点可进一步划分子单元：</w:t>
      </w:r>
    </w:p>
    <w:p w14:paraId="6BA1A23C">
      <w:pPr>
        <w:pStyle w:val="175"/>
        <w:numPr>
          <w:ilvl w:val="0"/>
          <w:numId w:val="44"/>
        </w:numPr>
      </w:pPr>
      <w:r>
        <w:rPr>
          <w:rFonts w:hint="eastAsia"/>
        </w:rPr>
        <w:t>设备设施及生产作业单元；</w:t>
      </w:r>
    </w:p>
    <w:p w14:paraId="2676CC06">
      <w:pPr>
        <w:pStyle w:val="175"/>
        <w:numPr>
          <w:ilvl w:val="0"/>
          <w:numId w:val="44"/>
        </w:numPr>
      </w:pPr>
      <w:r>
        <w:rPr>
          <w:rFonts w:hint="eastAsia"/>
        </w:rPr>
        <w:t>安全管理单元。</w:t>
      </w:r>
    </w:p>
    <w:p w14:paraId="2D9B08D3">
      <w:pPr>
        <w:pStyle w:val="106"/>
        <w:spacing w:before="120" w:after="120"/>
      </w:pPr>
      <w:bookmarkStart w:id="150" w:name="_Toc19249"/>
      <w:bookmarkStart w:id="151" w:name="_Toc28428"/>
      <w:bookmarkStart w:id="152" w:name="_Toc14536"/>
      <w:bookmarkStart w:id="153" w:name="_Toc11963"/>
      <w:bookmarkStart w:id="154" w:name="_Toc29873"/>
      <w:r>
        <w:rPr>
          <w:rFonts w:hint="eastAsia"/>
        </w:rPr>
        <w:t>评价方法</w:t>
      </w:r>
      <w:bookmarkEnd w:id="150"/>
      <w:bookmarkEnd w:id="151"/>
      <w:bookmarkEnd w:id="152"/>
      <w:bookmarkEnd w:id="153"/>
      <w:r>
        <w:rPr>
          <w:rFonts w:hint="eastAsia"/>
        </w:rPr>
        <w:t>选择及简介</w:t>
      </w:r>
      <w:bookmarkEnd w:id="154"/>
    </w:p>
    <w:p w14:paraId="6104EA4F">
      <w:pPr>
        <w:pStyle w:val="57"/>
        <w:ind w:firstLine="420"/>
      </w:pPr>
      <w:r>
        <w:rPr>
          <w:rFonts w:hint="eastAsia"/>
        </w:rPr>
        <w:t>应根据各评价单元的特点，选择一种或多种适用的定性或定量评价方法，并对选用的评价方法进行介绍。附录B给出了常用的安全评价方法。</w:t>
      </w:r>
    </w:p>
    <w:p w14:paraId="6EA1E6D9">
      <w:pPr>
        <w:pStyle w:val="105"/>
        <w:spacing w:before="240" w:after="240"/>
      </w:pPr>
      <w:bookmarkStart w:id="155" w:name="_Toc28585"/>
      <w:r>
        <w:rPr>
          <w:rFonts w:hint="eastAsia"/>
        </w:rPr>
        <w:t>危险有害因素辨识与分析</w:t>
      </w:r>
      <w:bookmarkEnd w:id="141"/>
      <w:bookmarkEnd w:id="142"/>
      <w:bookmarkEnd w:id="143"/>
      <w:bookmarkEnd w:id="144"/>
      <w:bookmarkEnd w:id="155"/>
    </w:p>
    <w:p w14:paraId="1EDC8177">
      <w:pPr>
        <w:pStyle w:val="106"/>
        <w:spacing w:before="120" w:after="120"/>
      </w:pPr>
      <w:bookmarkStart w:id="156" w:name="_Toc24763"/>
      <w:bookmarkStart w:id="157" w:name="_Toc26031"/>
      <w:bookmarkStart w:id="158" w:name="_Toc6703"/>
      <w:bookmarkStart w:id="159" w:name="_Toc4088"/>
      <w:bookmarkStart w:id="160" w:name="_Toc31960"/>
      <w:r>
        <w:rPr>
          <w:rFonts w:hint="eastAsia"/>
        </w:rPr>
        <w:t>危险有害物质辨识</w:t>
      </w:r>
      <w:bookmarkEnd w:id="156"/>
      <w:bookmarkEnd w:id="157"/>
      <w:bookmarkEnd w:id="158"/>
      <w:bookmarkEnd w:id="159"/>
      <w:bookmarkEnd w:id="160"/>
    </w:p>
    <w:p w14:paraId="1F580A10">
      <w:pPr>
        <w:pStyle w:val="57"/>
        <w:ind w:firstLine="420"/>
      </w:pPr>
      <w:r>
        <w:rPr>
          <w:rFonts w:hint="eastAsia"/>
        </w:rPr>
        <w:t>根据评价对象的实际情况，辨识涉及的危险有害物质，说明危险有害物质的危险特性、理化特性，并说明</w:t>
      </w:r>
      <w:r>
        <w:rPr>
          <w:rFonts w:hint="eastAsia" w:ascii="宋体" w:hAnsi="宋体" w:cs="宋体"/>
          <w:szCs w:val="21"/>
          <w:lang w:bidi="ar"/>
        </w:rPr>
        <w:t>与上次评价相比发生变化的危险有害物质</w:t>
      </w:r>
      <w:r>
        <w:rPr>
          <w:rFonts w:hint="eastAsia"/>
        </w:rPr>
        <w:t>。</w:t>
      </w:r>
    </w:p>
    <w:p w14:paraId="79018433">
      <w:pPr>
        <w:pStyle w:val="106"/>
        <w:spacing w:before="120" w:after="120"/>
      </w:pPr>
      <w:bookmarkStart w:id="161" w:name="_Toc23460"/>
      <w:bookmarkStart w:id="162" w:name="_Toc23722"/>
      <w:bookmarkStart w:id="163" w:name="_Toc31308"/>
      <w:bookmarkStart w:id="164" w:name="_Toc3032"/>
      <w:bookmarkStart w:id="165" w:name="_Toc16666"/>
      <w:r>
        <w:rPr>
          <w:rFonts w:hint="eastAsia"/>
        </w:rPr>
        <w:t>设备设施及生产作业危险有害因素辨识与分析</w:t>
      </w:r>
      <w:bookmarkEnd w:id="161"/>
      <w:bookmarkEnd w:id="162"/>
      <w:bookmarkEnd w:id="163"/>
      <w:bookmarkEnd w:id="164"/>
      <w:bookmarkEnd w:id="165"/>
    </w:p>
    <w:p w14:paraId="38F8A42F">
      <w:pPr>
        <w:pStyle w:val="166"/>
      </w:pPr>
      <w:r>
        <w:rPr>
          <w:rFonts w:hint="eastAsia"/>
        </w:rPr>
        <w:t>生产作业过程危险有害因素辨识与分析</w:t>
      </w:r>
    </w:p>
    <w:p w14:paraId="3B66EE64">
      <w:pPr>
        <w:pStyle w:val="57"/>
        <w:ind w:firstLine="420"/>
      </w:pPr>
      <w:r>
        <w:rPr>
          <w:rFonts w:hint="eastAsia"/>
        </w:rPr>
        <w:t>说明物探、钻井、录井、测井、井下作业、油建、陆上采油（气）等生产作业过程的危险有害因素辨识与分析的过程。</w:t>
      </w:r>
    </w:p>
    <w:p w14:paraId="69BC368A">
      <w:pPr>
        <w:pStyle w:val="166"/>
      </w:pPr>
      <w:r>
        <w:rPr>
          <w:rFonts w:hint="eastAsia"/>
        </w:rPr>
        <w:t>生产作业现场设备设施危险有害因素辨识与分析</w:t>
      </w:r>
    </w:p>
    <w:p w14:paraId="6C0DEB89">
      <w:pPr>
        <w:pStyle w:val="57"/>
        <w:ind w:firstLine="420"/>
      </w:pPr>
      <w:r>
        <w:rPr>
          <w:rFonts w:hint="eastAsia"/>
        </w:rPr>
        <w:t>说明生产作业现场设备设施、工艺流程及周边设施环境四邻关系的危险有害因素辨识与分析的过程。</w:t>
      </w:r>
    </w:p>
    <w:p w14:paraId="03F7ABA8">
      <w:pPr>
        <w:pStyle w:val="166"/>
      </w:pPr>
      <w:r>
        <w:rPr>
          <w:rFonts w:hint="eastAsia"/>
        </w:rPr>
        <w:t>公用工程及辅助生产设施危险有害因素辨识与分析</w:t>
      </w:r>
    </w:p>
    <w:p w14:paraId="6B986464">
      <w:pPr>
        <w:pStyle w:val="57"/>
        <w:ind w:firstLine="420"/>
      </w:pPr>
      <w:r>
        <w:rPr>
          <w:rFonts w:hint="eastAsia"/>
        </w:rPr>
        <w:t>说明供配电、自控系统、通信系统、防腐与保温、给排水及消防、供热与通风、建筑与结构等公用工程及辅助生产设施的危险有害因素辨识与分析的过程。</w:t>
      </w:r>
    </w:p>
    <w:p w14:paraId="65AA015F">
      <w:pPr>
        <w:pStyle w:val="106"/>
        <w:spacing w:before="120" w:after="120"/>
      </w:pPr>
      <w:bookmarkStart w:id="166" w:name="_Toc26230"/>
      <w:bookmarkStart w:id="167" w:name="_Toc24690"/>
      <w:bookmarkStart w:id="168" w:name="_Toc3171"/>
      <w:bookmarkStart w:id="169" w:name="_Toc29264"/>
      <w:bookmarkStart w:id="170" w:name="_Toc29094"/>
      <w:r>
        <w:rPr>
          <w:rFonts w:hint="eastAsia"/>
        </w:rPr>
        <w:t>自然和社会环境危险有害因素辨识与分析</w:t>
      </w:r>
      <w:bookmarkEnd w:id="166"/>
    </w:p>
    <w:p w14:paraId="42F6CED5">
      <w:pPr>
        <w:pStyle w:val="175"/>
        <w:numPr>
          <w:ilvl w:val="255"/>
          <w:numId w:val="0"/>
        </w:numPr>
        <w:ind w:left="425"/>
      </w:pPr>
      <w:r>
        <w:rPr>
          <w:rFonts w:hint="eastAsia"/>
        </w:rPr>
        <w:t>应对评价对象所在区域自然和社会环境进行危险有害因素辨识：</w:t>
      </w:r>
    </w:p>
    <w:p w14:paraId="1B73ACD8">
      <w:pPr>
        <w:pStyle w:val="175"/>
        <w:numPr>
          <w:ilvl w:val="0"/>
          <w:numId w:val="45"/>
        </w:numPr>
      </w:pPr>
      <w:r>
        <w:rPr>
          <w:rFonts w:hint="eastAsia"/>
        </w:rPr>
        <w:t>自然环境，包括气象、水文、地震、地质灾害等；</w:t>
      </w:r>
    </w:p>
    <w:p w14:paraId="48A55923">
      <w:pPr>
        <w:pStyle w:val="175"/>
        <w:numPr>
          <w:ilvl w:val="0"/>
          <w:numId w:val="45"/>
        </w:numPr>
      </w:pPr>
      <w:r>
        <w:rPr>
          <w:rFonts w:hint="eastAsia"/>
        </w:rPr>
        <w:t>社会环境，包括人文环境、交通运输、周边人居、企事业单位及敏感设施、第三方破坏。</w:t>
      </w:r>
    </w:p>
    <w:p w14:paraId="45163410">
      <w:pPr>
        <w:pStyle w:val="105"/>
        <w:spacing w:before="240" w:after="240"/>
      </w:pPr>
      <w:bookmarkStart w:id="171" w:name="_Toc16201"/>
      <w:r>
        <w:rPr>
          <w:rFonts w:hint="eastAsia"/>
        </w:rPr>
        <w:t>设备设施及生产作业单元评价</w:t>
      </w:r>
      <w:bookmarkEnd w:id="167"/>
      <w:bookmarkEnd w:id="168"/>
      <w:bookmarkEnd w:id="169"/>
      <w:bookmarkEnd w:id="170"/>
      <w:bookmarkEnd w:id="171"/>
    </w:p>
    <w:p w14:paraId="2CD41282">
      <w:pPr>
        <w:pStyle w:val="106"/>
        <w:spacing w:before="120" w:after="120"/>
      </w:pPr>
      <w:bookmarkStart w:id="172" w:name="_Toc16523"/>
      <w:bookmarkStart w:id="173" w:name="_Toc22027"/>
      <w:bookmarkStart w:id="174" w:name="_Toc13249"/>
      <w:bookmarkStart w:id="175" w:name="_Toc27421"/>
      <w:bookmarkStart w:id="176" w:name="_Toc17814"/>
      <w:r>
        <w:rPr>
          <w:rFonts w:hint="eastAsia"/>
        </w:rPr>
        <w:t>陆上采油（气）</w:t>
      </w:r>
      <w:bookmarkEnd w:id="172"/>
    </w:p>
    <w:p w14:paraId="08099CC5">
      <w:pPr>
        <w:pStyle w:val="66"/>
        <w:spacing w:before="120" w:after="120"/>
        <w:rPr>
          <w:rFonts w:ascii="宋体" w:eastAsia="宋体"/>
        </w:rPr>
      </w:pPr>
      <w:bookmarkStart w:id="177" w:name="_Toc9794"/>
      <w:r>
        <w:rPr>
          <w:rFonts w:hint="eastAsia" w:ascii="宋体" w:eastAsia="宋体"/>
        </w:rPr>
        <w:t>采油（气）</w:t>
      </w:r>
      <w:bookmarkEnd w:id="177"/>
    </w:p>
    <w:p w14:paraId="43EA911F">
      <w:pPr>
        <w:pStyle w:val="57"/>
        <w:ind w:firstLine="420"/>
      </w:pPr>
      <w:r>
        <w:rPr>
          <w:rFonts w:hint="eastAsia"/>
        </w:rPr>
        <w:t>评价内容应包括但不限于：</w:t>
      </w:r>
    </w:p>
    <w:p w14:paraId="54F54409">
      <w:pPr>
        <w:pStyle w:val="175"/>
        <w:numPr>
          <w:ilvl w:val="0"/>
          <w:numId w:val="46"/>
        </w:numPr>
      </w:pPr>
      <w:r>
        <w:rPr>
          <w:rFonts w:hint="eastAsia"/>
        </w:rPr>
        <w:t>井场、计量站等区域布置、平面布置；</w:t>
      </w:r>
    </w:p>
    <w:p w14:paraId="4C6FB339">
      <w:pPr>
        <w:pStyle w:val="175"/>
        <w:numPr>
          <w:ilvl w:val="0"/>
          <w:numId w:val="46"/>
        </w:numPr>
      </w:pPr>
      <w:r>
        <w:rPr>
          <w:rFonts w:hint="eastAsia"/>
        </w:rPr>
        <w:t>抽油机刹车装置及安全防护；</w:t>
      </w:r>
    </w:p>
    <w:p w14:paraId="44B244B0">
      <w:pPr>
        <w:pStyle w:val="175"/>
        <w:numPr>
          <w:ilvl w:val="0"/>
          <w:numId w:val="46"/>
        </w:numPr>
      </w:pPr>
      <w:r>
        <w:rPr>
          <w:rFonts w:hint="eastAsia"/>
        </w:rPr>
        <w:t>加热炉、多功能罐、分气包、计量分离器等检测检验、维护保养；</w:t>
      </w:r>
    </w:p>
    <w:p w14:paraId="6400037A">
      <w:pPr>
        <w:pStyle w:val="175"/>
        <w:numPr>
          <w:ilvl w:val="0"/>
          <w:numId w:val="46"/>
        </w:numPr>
      </w:pPr>
      <w:r>
        <w:rPr>
          <w:rFonts w:hint="eastAsia"/>
        </w:rPr>
        <w:t>实际地层压力大于或等于70</w:t>
      </w:r>
      <w:r>
        <w:rPr>
          <w:rFonts w:hint="eastAsia" w:ascii="MS Gothic" w:hAnsi="MS Gothic" w:eastAsia="MS Gothic" w:cs="MS Gothic"/>
        </w:rPr>
        <w:t> </w:t>
      </w:r>
      <w:r>
        <w:t>MPa</w:t>
      </w:r>
      <w:r>
        <w:rPr>
          <w:rFonts w:hint="eastAsia"/>
        </w:rPr>
        <w:t>或井口关井压力大于或等于35</w:t>
      </w:r>
      <w:r>
        <w:rPr>
          <w:rFonts w:hint="eastAsia" w:ascii="MS Gothic" w:hAnsi="MS Gothic" w:eastAsia="MS Gothic" w:cs="MS Gothic"/>
        </w:rPr>
        <w:t> </w:t>
      </w:r>
      <w:r>
        <w:rPr>
          <w:rFonts w:hint="eastAsia"/>
        </w:rPr>
        <w:t>MPa的油井、含硫化氢等有毒有害气体的自喷井、储气库的注采井等紧急关断装置；</w:t>
      </w:r>
    </w:p>
    <w:p w14:paraId="08EA9A92">
      <w:pPr>
        <w:pStyle w:val="175"/>
        <w:numPr>
          <w:ilvl w:val="0"/>
          <w:numId w:val="46"/>
        </w:numPr>
      </w:pPr>
      <w:r>
        <w:rPr>
          <w:rFonts w:hint="eastAsia"/>
        </w:rPr>
        <w:t>生产管柱配置情况；</w:t>
      </w:r>
    </w:p>
    <w:p w14:paraId="26CA3087">
      <w:pPr>
        <w:pStyle w:val="175"/>
        <w:numPr>
          <w:ilvl w:val="0"/>
          <w:numId w:val="46"/>
        </w:numPr>
      </w:pPr>
      <w:r>
        <w:rPr>
          <w:rFonts w:hint="eastAsia"/>
        </w:rPr>
        <w:t>含硫化氢、二氧化碳油井以及酸性气体环境气井的井口装置、采气树等定期进行腐蚀状况、密封性检查和维修保养等记录；</w:t>
      </w:r>
    </w:p>
    <w:p w14:paraId="52EA312F">
      <w:pPr>
        <w:pStyle w:val="175"/>
        <w:numPr>
          <w:ilvl w:val="0"/>
          <w:numId w:val="46"/>
        </w:numPr>
      </w:pPr>
      <w:r>
        <w:rPr>
          <w:rFonts w:hint="eastAsia"/>
        </w:rPr>
        <w:t>新建注采气井、含硫化氢和（或）二氧化碳的注采气井投产后首次进行技术检测的周期；</w:t>
      </w:r>
    </w:p>
    <w:p w14:paraId="17AEBD0B">
      <w:pPr>
        <w:pStyle w:val="175"/>
        <w:numPr>
          <w:ilvl w:val="0"/>
          <w:numId w:val="46"/>
        </w:numPr>
      </w:pPr>
      <w:r>
        <w:rPr>
          <w:rFonts w:hint="eastAsia"/>
        </w:rPr>
        <w:t>停产井、弃置井情况；</w:t>
      </w:r>
    </w:p>
    <w:p w14:paraId="73F42D9B">
      <w:pPr>
        <w:pStyle w:val="175"/>
        <w:numPr>
          <w:ilvl w:val="0"/>
          <w:numId w:val="46"/>
        </w:numPr>
      </w:pPr>
      <w:r>
        <w:rPr>
          <w:rFonts w:hint="eastAsia"/>
        </w:rPr>
        <w:t>井场、计量站等安全标识；</w:t>
      </w:r>
    </w:p>
    <w:p w14:paraId="0A7C161C">
      <w:pPr>
        <w:pStyle w:val="175"/>
        <w:numPr>
          <w:ilvl w:val="0"/>
          <w:numId w:val="46"/>
        </w:numPr>
      </w:pPr>
      <w:r>
        <w:rPr>
          <w:rFonts w:hint="eastAsia"/>
        </w:rPr>
        <w:t>居民区内以及靠近居民区的井场隔离保护措施。</w:t>
      </w:r>
    </w:p>
    <w:p w14:paraId="0CEFACB1">
      <w:pPr>
        <w:pStyle w:val="66"/>
        <w:spacing w:before="120" w:after="120"/>
        <w:rPr>
          <w:rFonts w:ascii="宋体" w:eastAsia="宋体"/>
        </w:rPr>
      </w:pPr>
      <w:bookmarkStart w:id="178" w:name="_Toc21141"/>
      <w:r>
        <w:rPr>
          <w:rFonts w:hint="eastAsia" w:ascii="宋体" w:eastAsia="宋体"/>
        </w:rPr>
        <w:t>注入工程</w:t>
      </w:r>
      <w:bookmarkEnd w:id="178"/>
    </w:p>
    <w:p w14:paraId="1A540D62">
      <w:pPr>
        <w:pStyle w:val="57"/>
        <w:ind w:firstLine="420"/>
      </w:pPr>
      <w:r>
        <w:rPr>
          <w:rFonts w:hint="eastAsia"/>
        </w:rPr>
        <w:t>评价内容应包括但不限于：</w:t>
      </w:r>
    </w:p>
    <w:p w14:paraId="3B811FFD">
      <w:pPr>
        <w:pStyle w:val="175"/>
        <w:numPr>
          <w:ilvl w:val="0"/>
          <w:numId w:val="47"/>
        </w:numPr>
      </w:pPr>
      <w:r>
        <w:rPr>
          <w:rFonts w:hint="eastAsia"/>
        </w:rPr>
        <w:t>注入站场区域布置、平面布置、工艺流程；</w:t>
      </w:r>
    </w:p>
    <w:p w14:paraId="1E39ADFF">
      <w:pPr>
        <w:pStyle w:val="175"/>
        <w:numPr>
          <w:ilvl w:val="0"/>
          <w:numId w:val="47"/>
        </w:numPr>
      </w:pPr>
      <w:r>
        <w:rPr>
          <w:rFonts w:hint="eastAsia"/>
        </w:rPr>
        <w:t>注入设备的安全防护装置配备、安全附件校验；</w:t>
      </w:r>
    </w:p>
    <w:p w14:paraId="4D84CB16">
      <w:pPr>
        <w:pStyle w:val="175"/>
        <w:numPr>
          <w:ilvl w:val="0"/>
          <w:numId w:val="47"/>
        </w:numPr>
      </w:pPr>
      <w:r>
        <w:rPr>
          <w:rFonts w:hint="eastAsia"/>
        </w:rPr>
        <w:t>注入管道材质与输送注入介质、温度、压力等的匹配性，以及检测记录；</w:t>
      </w:r>
    </w:p>
    <w:p w14:paraId="2811B4B6">
      <w:pPr>
        <w:pStyle w:val="175"/>
        <w:numPr>
          <w:ilvl w:val="0"/>
          <w:numId w:val="47"/>
        </w:numPr>
      </w:pPr>
      <w:r>
        <w:rPr>
          <w:rFonts w:hint="eastAsia"/>
        </w:rPr>
        <w:t>注入系统压力表设置；</w:t>
      </w:r>
    </w:p>
    <w:p w14:paraId="42DB1A70">
      <w:pPr>
        <w:pStyle w:val="175"/>
        <w:numPr>
          <w:ilvl w:val="0"/>
          <w:numId w:val="47"/>
        </w:numPr>
      </w:pPr>
      <w:r>
        <w:rPr>
          <w:rFonts w:hint="eastAsia"/>
        </w:rPr>
        <w:t>注入井井口、管柱装置等压力等级、防腐；</w:t>
      </w:r>
    </w:p>
    <w:p w14:paraId="05012555">
      <w:pPr>
        <w:pStyle w:val="175"/>
        <w:numPr>
          <w:ilvl w:val="0"/>
          <w:numId w:val="47"/>
        </w:numPr>
      </w:pPr>
      <w:r>
        <w:rPr>
          <w:rFonts w:hint="eastAsia"/>
        </w:rPr>
        <w:t>注入井口装置、管道等设备设施防冻保温措施；</w:t>
      </w:r>
    </w:p>
    <w:p w14:paraId="57756839">
      <w:pPr>
        <w:pStyle w:val="175"/>
        <w:numPr>
          <w:ilvl w:val="0"/>
          <w:numId w:val="47"/>
        </w:numPr>
      </w:pPr>
      <w:r>
        <w:rPr>
          <w:rFonts w:hint="eastAsia"/>
        </w:rPr>
        <w:t>可燃气体和有毒气体检测报警系统设置、检测检验、维护保养；</w:t>
      </w:r>
    </w:p>
    <w:p w14:paraId="116892B0">
      <w:pPr>
        <w:pStyle w:val="175"/>
        <w:numPr>
          <w:ilvl w:val="0"/>
          <w:numId w:val="47"/>
        </w:numPr>
      </w:pPr>
      <w:r>
        <w:rPr>
          <w:rFonts w:hint="eastAsia"/>
        </w:rPr>
        <w:t>注入场站安全标识；</w:t>
      </w:r>
    </w:p>
    <w:p w14:paraId="6A001BD6">
      <w:pPr>
        <w:pStyle w:val="175"/>
        <w:numPr>
          <w:ilvl w:val="0"/>
          <w:numId w:val="47"/>
        </w:numPr>
      </w:pPr>
      <w:r>
        <w:rPr>
          <w:rFonts w:hint="eastAsia"/>
        </w:rPr>
        <w:t>人口稠密区的注入井井场防止人员靠近的防护措施。</w:t>
      </w:r>
    </w:p>
    <w:p w14:paraId="1EC8B384">
      <w:pPr>
        <w:pStyle w:val="66"/>
        <w:spacing w:before="120" w:after="120"/>
        <w:rPr>
          <w:rFonts w:ascii="宋体" w:eastAsia="宋体"/>
        </w:rPr>
      </w:pPr>
      <w:bookmarkStart w:id="179" w:name="_Toc10087"/>
      <w:r>
        <w:rPr>
          <w:rFonts w:hint="eastAsia" w:ascii="宋体" w:eastAsia="宋体"/>
        </w:rPr>
        <w:t>原油及伴生气集输、处理及储运</w:t>
      </w:r>
      <w:bookmarkEnd w:id="179"/>
    </w:p>
    <w:p w14:paraId="5CBEF11B">
      <w:pPr>
        <w:pStyle w:val="57"/>
        <w:tabs>
          <w:tab w:val="left" w:pos="5863"/>
        </w:tabs>
        <w:ind w:firstLine="420"/>
      </w:pPr>
      <w:r>
        <w:rPr>
          <w:rFonts w:hint="eastAsia"/>
        </w:rPr>
        <w:t>评价内容应包括但不限于：</w:t>
      </w:r>
      <w:r>
        <w:tab/>
      </w:r>
    </w:p>
    <w:p w14:paraId="2F96BEB3">
      <w:pPr>
        <w:pStyle w:val="175"/>
        <w:numPr>
          <w:ilvl w:val="0"/>
          <w:numId w:val="48"/>
        </w:numPr>
      </w:pPr>
      <w:r>
        <w:rPr>
          <w:rFonts w:hint="eastAsia"/>
        </w:rPr>
        <w:t>油气站场区域布置、平面布置；</w:t>
      </w:r>
    </w:p>
    <w:p w14:paraId="5C0CF6A6">
      <w:pPr>
        <w:pStyle w:val="175"/>
        <w:numPr>
          <w:ilvl w:val="0"/>
          <w:numId w:val="48"/>
        </w:numPr>
      </w:pPr>
      <w:r>
        <w:rPr>
          <w:rFonts w:hint="eastAsia"/>
        </w:rPr>
        <w:t>集输油站库、伴生气回收站场、管网的运行；</w:t>
      </w:r>
    </w:p>
    <w:p w14:paraId="4E63A1F6">
      <w:pPr>
        <w:pStyle w:val="175"/>
        <w:numPr>
          <w:ilvl w:val="0"/>
          <w:numId w:val="48"/>
        </w:numPr>
      </w:pPr>
      <w:r>
        <w:rPr>
          <w:rFonts w:hint="eastAsia"/>
        </w:rPr>
        <w:t>储油罐、轻（混）烃储罐、输油泵、加热炉、脱水器、原油稳定装置等检测检验、维护保养；</w:t>
      </w:r>
    </w:p>
    <w:p w14:paraId="5ED23A8B">
      <w:pPr>
        <w:pStyle w:val="175"/>
        <w:numPr>
          <w:ilvl w:val="0"/>
          <w:numId w:val="48"/>
        </w:numPr>
      </w:pPr>
      <w:r>
        <w:rPr>
          <w:rFonts w:hint="eastAsia"/>
        </w:rPr>
        <w:t>油罐和轻（混）烃储罐消防设施、防火堤、水封井等设置；</w:t>
      </w:r>
    </w:p>
    <w:p w14:paraId="4761C9EC">
      <w:pPr>
        <w:pStyle w:val="175"/>
        <w:numPr>
          <w:ilvl w:val="0"/>
          <w:numId w:val="48"/>
        </w:numPr>
      </w:pPr>
      <w:r>
        <w:rPr>
          <w:rFonts w:hint="eastAsia"/>
        </w:rPr>
        <w:t>原油和轻（混）烃储罐、装卸设施及作业要求；</w:t>
      </w:r>
    </w:p>
    <w:p w14:paraId="2997E113">
      <w:pPr>
        <w:pStyle w:val="175"/>
        <w:numPr>
          <w:ilvl w:val="0"/>
          <w:numId w:val="48"/>
        </w:numPr>
      </w:pPr>
      <w:r>
        <w:rPr>
          <w:rFonts w:hint="eastAsia"/>
        </w:rPr>
        <w:t>集输管线路由；</w:t>
      </w:r>
    </w:p>
    <w:p w14:paraId="10F990B4">
      <w:pPr>
        <w:pStyle w:val="175"/>
        <w:numPr>
          <w:ilvl w:val="0"/>
          <w:numId w:val="48"/>
        </w:numPr>
      </w:pPr>
      <w:r>
        <w:rPr>
          <w:rFonts w:hint="eastAsia"/>
        </w:rPr>
        <w:t>呼吸阀、安全阀、阻火器等附件选型、参数设置、检测检验；</w:t>
      </w:r>
    </w:p>
    <w:p w14:paraId="7D5ACBC8">
      <w:pPr>
        <w:pStyle w:val="175"/>
        <w:numPr>
          <w:ilvl w:val="0"/>
          <w:numId w:val="48"/>
        </w:numPr>
      </w:pPr>
      <w:r>
        <w:rPr>
          <w:rFonts w:hint="eastAsia"/>
        </w:rPr>
        <w:t>可燃气体和有毒气体检测报警系统设置、检测检验、维护保养；</w:t>
      </w:r>
    </w:p>
    <w:p w14:paraId="68944CA7">
      <w:pPr>
        <w:pStyle w:val="175"/>
        <w:numPr>
          <w:ilvl w:val="0"/>
          <w:numId w:val="48"/>
        </w:numPr>
      </w:pPr>
      <w:r>
        <w:rPr>
          <w:rFonts w:hint="eastAsia"/>
        </w:rPr>
        <w:t>含硫化氢站场安全风险防控措施、作业现场应急物资、消防器材配置；</w:t>
      </w:r>
    </w:p>
    <w:p w14:paraId="6D5CCB34">
      <w:pPr>
        <w:pStyle w:val="175"/>
        <w:numPr>
          <w:ilvl w:val="0"/>
          <w:numId w:val="48"/>
        </w:numPr>
      </w:pPr>
      <w:r>
        <w:rPr>
          <w:rFonts w:hint="eastAsia" w:hAnsi="宋体" w:cs="宋体"/>
          <w:szCs w:val="21"/>
          <w:lang w:bidi="ar"/>
        </w:rPr>
        <w:t>储罐高低液位报警及视频监控系统设置情况；</w:t>
      </w:r>
    </w:p>
    <w:p w14:paraId="390CB0B2">
      <w:pPr>
        <w:pStyle w:val="175"/>
        <w:numPr>
          <w:ilvl w:val="0"/>
          <w:numId w:val="48"/>
        </w:numPr>
      </w:pPr>
      <w:r>
        <w:rPr>
          <w:rFonts w:hint="eastAsia"/>
        </w:rPr>
        <w:t>站场内安全标识。</w:t>
      </w:r>
    </w:p>
    <w:p w14:paraId="6D5717EB">
      <w:pPr>
        <w:pStyle w:val="66"/>
        <w:spacing w:before="120" w:after="120"/>
        <w:rPr>
          <w:rFonts w:ascii="宋体" w:eastAsia="宋体"/>
        </w:rPr>
      </w:pPr>
      <w:bookmarkStart w:id="180" w:name="_Toc1280"/>
      <w:r>
        <w:rPr>
          <w:rFonts w:hint="eastAsia" w:ascii="宋体" w:eastAsia="宋体"/>
        </w:rPr>
        <w:t>天然气集输、处理和储运</w:t>
      </w:r>
      <w:bookmarkEnd w:id="180"/>
    </w:p>
    <w:p w14:paraId="76F5356E">
      <w:pPr>
        <w:pStyle w:val="57"/>
        <w:ind w:firstLine="420"/>
      </w:pPr>
      <w:r>
        <w:rPr>
          <w:rFonts w:hint="eastAsia"/>
        </w:rPr>
        <w:t>评价内容应包括但不限于：</w:t>
      </w:r>
    </w:p>
    <w:p w14:paraId="3F735155">
      <w:pPr>
        <w:pStyle w:val="175"/>
        <w:numPr>
          <w:ilvl w:val="0"/>
          <w:numId w:val="49"/>
        </w:numPr>
      </w:pPr>
      <w:r>
        <w:rPr>
          <w:rFonts w:hint="eastAsia"/>
        </w:rPr>
        <w:t>天然气注采、计量、增压、处理和储运等厂、站区域布置、平面布置；</w:t>
      </w:r>
    </w:p>
    <w:p w14:paraId="1D56A710">
      <w:pPr>
        <w:pStyle w:val="175"/>
        <w:numPr>
          <w:ilvl w:val="0"/>
          <w:numId w:val="33"/>
        </w:numPr>
      </w:pPr>
      <w:r>
        <w:rPr>
          <w:rFonts w:hint="eastAsia"/>
        </w:rPr>
        <w:t>集输气、注采气站场、管网的运行；</w:t>
      </w:r>
    </w:p>
    <w:p w14:paraId="617C620F">
      <w:pPr>
        <w:pStyle w:val="175"/>
        <w:numPr>
          <w:ilvl w:val="0"/>
          <w:numId w:val="33"/>
        </w:numPr>
      </w:pPr>
      <w:r>
        <w:rPr>
          <w:rFonts w:hint="eastAsia"/>
        </w:rPr>
        <w:t>压缩机、加热炉、天然气处理装置、脱硫装置等设备设施检测检验、维护保养；</w:t>
      </w:r>
    </w:p>
    <w:p w14:paraId="2F4F3D1D">
      <w:pPr>
        <w:pStyle w:val="175"/>
        <w:numPr>
          <w:ilvl w:val="0"/>
          <w:numId w:val="33"/>
        </w:numPr>
      </w:pPr>
      <w:r>
        <w:rPr>
          <w:rFonts w:hint="eastAsia"/>
        </w:rPr>
        <w:t>气柜、高压储气罐等天然气储存设施的设置；</w:t>
      </w:r>
    </w:p>
    <w:p w14:paraId="63D58884">
      <w:pPr>
        <w:pStyle w:val="175"/>
        <w:numPr>
          <w:ilvl w:val="0"/>
          <w:numId w:val="33"/>
        </w:numPr>
      </w:pPr>
      <w:r>
        <w:rPr>
          <w:rFonts w:hint="eastAsia"/>
        </w:rPr>
        <w:t>天然气凝液、液化石油气和稳定轻烃储罐紧急放空设施和安全阀、温度计、液位计、压力表等安全附件、高低液位报警装置、排水口、注水线以及罐区水封井、防火堤的设置；</w:t>
      </w:r>
    </w:p>
    <w:p w14:paraId="593852B8">
      <w:pPr>
        <w:pStyle w:val="175"/>
        <w:numPr>
          <w:ilvl w:val="0"/>
          <w:numId w:val="33"/>
        </w:numPr>
      </w:pPr>
      <w:r>
        <w:rPr>
          <w:rFonts w:hint="eastAsia"/>
        </w:rPr>
        <w:t>稳定轻烃、液化石油气、天然气凝液装卸设施及作业要求；</w:t>
      </w:r>
    </w:p>
    <w:p w14:paraId="79394C65">
      <w:pPr>
        <w:pStyle w:val="175"/>
        <w:numPr>
          <w:ilvl w:val="0"/>
          <w:numId w:val="33"/>
        </w:numPr>
      </w:pPr>
      <w:r>
        <w:rPr>
          <w:rFonts w:hint="eastAsia"/>
        </w:rPr>
        <w:t>安全附件选型、检测检验、维护保养等；</w:t>
      </w:r>
    </w:p>
    <w:p w14:paraId="31DEC276">
      <w:pPr>
        <w:pStyle w:val="175"/>
        <w:numPr>
          <w:ilvl w:val="0"/>
          <w:numId w:val="33"/>
        </w:numPr>
      </w:pPr>
      <w:r>
        <w:rPr>
          <w:rFonts w:hint="eastAsia"/>
        </w:rPr>
        <w:t>可燃气体和有毒气体检测报警系统设置、检测检验、维护保养；</w:t>
      </w:r>
    </w:p>
    <w:p w14:paraId="12ED9331">
      <w:pPr>
        <w:pStyle w:val="175"/>
        <w:numPr>
          <w:ilvl w:val="0"/>
          <w:numId w:val="33"/>
        </w:numPr>
      </w:pPr>
      <w:r>
        <w:rPr>
          <w:rFonts w:hint="eastAsia"/>
        </w:rPr>
        <w:t>含硫化氢站场安全风险防控措施、作业现场应急物资、消防器材配置；</w:t>
      </w:r>
    </w:p>
    <w:p w14:paraId="3293BE76">
      <w:pPr>
        <w:pStyle w:val="175"/>
        <w:numPr>
          <w:ilvl w:val="0"/>
          <w:numId w:val="33"/>
        </w:numPr>
      </w:pPr>
      <w:r>
        <w:rPr>
          <w:rFonts w:hint="eastAsia"/>
        </w:rPr>
        <w:t>储气库建库层系、运行方式、气库压力、库容；</w:t>
      </w:r>
    </w:p>
    <w:p w14:paraId="391C0E1C">
      <w:pPr>
        <w:pStyle w:val="175"/>
        <w:numPr>
          <w:ilvl w:val="0"/>
          <w:numId w:val="33"/>
        </w:numPr>
      </w:pPr>
      <w:r>
        <w:rPr>
          <w:rFonts w:hint="eastAsia"/>
        </w:rPr>
        <w:t>储气地质体监测；</w:t>
      </w:r>
    </w:p>
    <w:p w14:paraId="3195279C">
      <w:pPr>
        <w:pStyle w:val="175"/>
        <w:numPr>
          <w:ilvl w:val="0"/>
          <w:numId w:val="33"/>
        </w:numPr>
      </w:pPr>
      <w:r>
        <w:rPr>
          <w:rFonts w:hint="eastAsia"/>
        </w:rPr>
        <w:t>储气库注采管道、天然气集输管道路由。</w:t>
      </w:r>
    </w:p>
    <w:p w14:paraId="7F120F4D">
      <w:pPr>
        <w:pStyle w:val="66"/>
        <w:spacing w:before="120" w:after="120"/>
        <w:rPr>
          <w:rFonts w:ascii="宋体" w:eastAsia="宋体"/>
        </w:rPr>
      </w:pPr>
      <w:bookmarkStart w:id="181" w:name="_Toc23485"/>
      <w:r>
        <w:rPr>
          <w:rFonts w:hint="eastAsia" w:ascii="宋体" w:eastAsia="宋体"/>
        </w:rPr>
        <w:t>采出水处理</w:t>
      </w:r>
      <w:bookmarkEnd w:id="181"/>
    </w:p>
    <w:p w14:paraId="3FAFBE5A">
      <w:pPr>
        <w:pStyle w:val="57"/>
        <w:ind w:firstLine="420"/>
      </w:pPr>
      <w:r>
        <w:rPr>
          <w:rFonts w:hint="eastAsia"/>
        </w:rPr>
        <w:t>评价内容应包括但不限于：</w:t>
      </w:r>
    </w:p>
    <w:p w14:paraId="4C1305F5">
      <w:pPr>
        <w:pStyle w:val="175"/>
        <w:numPr>
          <w:ilvl w:val="0"/>
          <w:numId w:val="50"/>
        </w:numPr>
      </w:pPr>
      <w:r>
        <w:rPr>
          <w:rFonts w:hint="eastAsia" w:hAnsi="宋体" w:cs="宋体"/>
          <w:szCs w:val="21"/>
          <w:lang w:bidi="ar"/>
        </w:rPr>
        <w:t>采出水处理站、注水站、供水站</w:t>
      </w:r>
      <w:r>
        <w:rPr>
          <w:rFonts w:hint="eastAsia"/>
        </w:rPr>
        <w:t>区域布置、平面布置；</w:t>
      </w:r>
    </w:p>
    <w:p w14:paraId="419E52A6">
      <w:pPr>
        <w:pStyle w:val="175"/>
        <w:numPr>
          <w:ilvl w:val="0"/>
          <w:numId w:val="50"/>
        </w:numPr>
      </w:pPr>
      <w:r>
        <w:rPr>
          <w:rFonts w:hint="eastAsia"/>
        </w:rPr>
        <w:t>采出水管线路由；</w:t>
      </w:r>
    </w:p>
    <w:p w14:paraId="11EA3B4D">
      <w:pPr>
        <w:pStyle w:val="175"/>
        <w:numPr>
          <w:ilvl w:val="0"/>
          <w:numId w:val="50"/>
        </w:numPr>
      </w:pPr>
      <w:r>
        <w:rPr>
          <w:rFonts w:hint="eastAsia"/>
        </w:rPr>
        <w:t>污油罐及污水沉降罐顶部呼吸阀、阻火器及液压安全阀的设置、检测检验、维护保养；</w:t>
      </w:r>
    </w:p>
    <w:p w14:paraId="36A52996">
      <w:pPr>
        <w:pStyle w:val="175"/>
        <w:numPr>
          <w:ilvl w:val="0"/>
          <w:numId w:val="50"/>
        </w:numPr>
      </w:pPr>
      <w:r>
        <w:rPr>
          <w:rFonts w:hint="eastAsia" w:hAnsi="宋体" w:cs="宋体"/>
          <w:szCs w:val="21"/>
          <w:lang w:bidi="ar"/>
        </w:rPr>
        <w:t>供水泵、喂水泵、注水泵维护保养和药剂储存管理等；</w:t>
      </w:r>
    </w:p>
    <w:p w14:paraId="4DFADB3A">
      <w:pPr>
        <w:pStyle w:val="175"/>
        <w:numPr>
          <w:ilvl w:val="0"/>
          <w:numId w:val="50"/>
        </w:numPr>
      </w:pPr>
      <w:r>
        <w:rPr>
          <w:rFonts w:hint="eastAsia"/>
        </w:rPr>
        <w:t>可燃气体和有毒气体检测报警系统设置、检测检验、维护保养；</w:t>
      </w:r>
    </w:p>
    <w:p w14:paraId="1E5FF98A">
      <w:pPr>
        <w:pStyle w:val="175"/>
        <w:numPr>
          <w:ilvl w:val="0"/>
          <w:numId w:val="50"/>
        </w:numPr>
      </w:pPr>
      <w:r>
        <w:rPr>
          <w:rFonts w:hint="eastAsia"/>
        </w:rPr>
        <w:t>含硫化氢站场正压式空气呼吸器、硫化氢检测仪等配备、检测检验、维护保养；</w:t>
      </w:r>
    </w:p>
    <w:p w14:paraId="2D492DB9">
      <w:pPr>
        <w:pStyle w:val="175"/>
        <w:numPr>
          <w:ilvl w:val="0"/>
          <w:numId w:val="50"/>
        </w:numPr>
      </w:pPr>
      <w:r>
        <w:rPr>
          <w:rFonts w:hint="eastAsia"/>
        </w:rPr>
        <w:t>站场内安全标识。</w:t>
      </w:r>
    </w:p>
    <w:p w14:paraId="05B3782E">
      <w:pPr>
        <w:pStyle w:val="66"/>
        <w:spacing w:before="120" w:after="120"/>
        <w:rPr>
          <w:rFonts w:ascii="宋体" w:eastAsia="宋体"/>
        </w:rPr>
      </w:pPr>
      <w:bookmarkStart w:id="182" w:name="_Toc15835"/>
      <w:r>
        <w:rPr>
          <w:rFonts w:hint="eastAsia" w:ascii="宋体" w:eastAsia="宋体"/>
        </w:rPr>
        <w:t>公用工程</w:t>
      </w:r>
      <w:bookmarkEnd w:id="182"/>
    </w:p>
    <w:p w14:paraId="173E552C">
      <w:pPr>
        <w:pStyle w:val="57"/>
        <w:ind w:firstLine="420"/>
      </w:pPr>
      <w:r>
        <w:rPr>
          <w:rFonts w:hint="eastAsia"/>
        </w:rPr>
        <w:t>评价内容应包括但不限于：</w:t>
      </w:r>
    </w:p>
    <w:p w14:paraId="54312492">
      <w:pPr>
        <w:pStyle w:val="175"/>
        <w:numPr>
          <w:ilvl w:val="0"/>
          <w:numId w:val="51"/>
        </w:numPr>
      </w:pPr>
      <w:r>
        <w:rPr>
          <w:rFonts w:hint="eastAsia"/>
        </w:rPr>
        <w:t>供配电系统的用电负荷等级、供电电源（含新能源接入系统）、变配电、电气防爆、照明、防雷防静电接地等设置及运行状况；</w:t>
      </w:r>
    </w:p>
    <w:p w14:paraId="09E213BF">
      <w:pPr>
        <w:pStyle w:val="175"/>
        <w:numPr>
          <w:ilvl w:val="0"/>
          <w:numId w:val="51"/>
        </w:numPr>
      </w:pPr>
      <w:r>
        <w:rPr>
          <w:rFonts w:hint="eastAsia"/>
        </w:rPr>
        <w:t>自控系统的监控与数据采集、过程控制、紧急停车、安全仪表、可燃（有毒）气体检测、火灾自动报警等设置及运行状况；</w:t>
      </w:r>
    </w:p>
    <w:p w14:paraId="6A52EBA8">
      <w:pPr>
        <w:pStyle w:val="175"/>
        <w:numPr>
          <w:ilvl w:val="0"/>
          <w:numId w:val="51"/>
        </w:numPr>
      </w:pPr>
      <w:r>
        <w:rPr>
          <w:rFonts w:hint="eastAsia"/>
        </w:rPr>
        <w:t>通信系统的通信方式、电话系统、广播系统、安防系统等设置及运行状况；</w:t>
      </w:r>
    </w:p>
    <w:p w14:paraId="50FC1390">
      <w:pPr>
        <w:pStyle w:val="175"/>
        <w:numPr>
          <w:ilvl w:val="0"/>
          <w:numId w:val="51"/>
        </w:numPr>
      </w:pPr>
      <w:r>
        <w:rPr>
          <w:rFonts w:hint="eastAsia"/>
        </w:rPr>
        <w:t>线路管道、站内设备及管道的防腐和绝热的设置及运行状况；</w:t>
      </w:r>
    </w:p>
    <w:p w14:paraId="160AB76C">
      <w:pPr>
        <w:pStyle w:val="175"/>
        <w:numPr>
          <w:ilvl w:val="0"/>
          <w:numId w:val="51"/>
        </w:numPr>
      </w:pPr>
      <w:r>
        <w:rPr>
          <w:rFonts w:hint="eastAsia"/>
        </w:rPr>
        <w:t>给排水及消防系统的供水、排水、消防设施等设置及运行状况；</w:t>
      </w:r>
    </w:p>
    <w:p w14:paraId="1AE1DD5C">
      <w:pPr>
        <w:pStyle w:val="175"/>
        <w:numPr>
          <w:ilvl w:val="0"/>
          <w:numId w:val="51"/>
        </w:numPr>
      </w:pPr>
      <w:r>
        <w:rPr>
          <w:rFonts w:hint="eastAsia"/>
        </w:rPr>
        <w:t>供热与暖通系统的供热、通风、排风等设置及运行状况；</w:t>
      </w:r>
    </w:p>
    <w:p w14:paraId="483535F8">
      <w:pPr>
        <w:pStyle w:val="175"/>
        <w:numPr>
          <w:ilvl w:val="0"/>
          <w:numId w:val="33"/>
        </w:numPr>
      </w:pPr>
      <w:r>
        <w:rPr>
          <w:rFonts w:hint="eastAsia"/>
        </w:rPr>
        <w:t>建筑与结构的抗震、防火、泄压、抗爆等设置及运行状况。</w:t>
      </w:r>
    </w:p>
    <w:p w14:paraId="337B736F">
      <w:pPr>
        <w:pStyle w:val="106"/>
        <w:spacing w:before="120" w:after="120"/>
      </w:pPr>
      <w:bookmarkStart w:id="183" w:name="_Toc1455"/>
      <w:r>
        <w:rPr>
          <w:rFonts w:hint="eastAsia"/>
        </w:rPr>
        <w:t>物探</w:t>
      </w:r>
      <w:bookmarkEnd w:id="173"/>
      <w:bookmarkEnd w:id="174"/>
      <w:bookmarkEnd w:id="175"/>
      <w:bookmarkEnd w:id="176"/>
      <w:bookmarkEnd w:id="183"/>
    </w:p>
    <w:p w14:paraId="0134EC3E">
      <w:pPr>
        <w:pStyle w:val="57"/>
        <w:ind w:firstLine="420"/>
      </w:pPr>
      <w:r>
        <w:rPr>
          <w:rFonts w:hint="eastAsia"/>
        </w:rPr>
        <w:t>评价内容应包括但不限于：</w:t>
      </w:r>
    </w:p>
    <w:p w14:paraId="65C3A3F2">
      <w:pPr>
        <w:pStyle w:val="175"/>
        <w:numPr>
          <w:ilvl w:val="0"/>
          <w:numId w:val="52"/>
        </w:numPr>
      </w:pPr>
      <w:r>
        <w:t>营地选址</w:t>
      </w:r>
      <w:r>
        <w:rPr>
          <w:rFonts w:hint="eastAsia"/>
        </w:rPr>
        <w:t>、民用爆炸物品库、发配电站设置；</w:t>
      </w:r>
    </w:p>
    <w:p w14:paraId="34628EE0">
      <w:pPr>
        <w:pStyle w:val="175"/>
        <w:numPr>
          <w:ilvl w:val="0"/>
          <w:numId w:val="52"/>
        </w:numPr>
      </w:pPr>
      <w:r>
        <w:t>特殊地形（沙漠、高原等）、危险区域（水域、断崖、陡坡、岩石松软地带</w:t>
      </w:r>
      <w:r>
        <w:rPr>
          <w:rFonts w:hint="eastAsia"/>
        </w:rPr>
        <w:t>、冲沟</w:t>
      </w:r>
      <w:r>
        <w:t>等）、特殊天气（雷雨、大风等）</w:t>
      </w:r>
      <w:r>
        <w:rPr>
          <w:rFonts w:hint="eastAsia"/>
        </w:rPr>
        <w:t>安全管控措施；</w:t>
      </w:r>
    </w:p>
    <w:p w14:paraId="25EEE1EE">
      <w:pPr>
        <w:pStyle w:val="175"/>
        <w:numPr>
          <w:ilvl w:val="0"/>
          <w:numId w:val="52"/>
        </w:numPr>
      </w:pPr>
      <w:r>
        <w:rPr>
          <w:rFonts w:hint="eastAsia"/>
        </w:rPr>
        <w:t>营地及作业现场用电、安全防护设施、警示标识设置；</w:t>
      </w:r>
    </w:p>
    <w:p w14:paraId="48315FA4">
      <w:pPr>
        <w:pStyle w:val="175"/>
        <w:numPr>
          <w:ilvl w:val="0"/>
          <w:numId w:val="52"/>
        </w:numPr>
      </w:pPr>
      <w:r>
        <w:rPr>
          <w:rFonts w:hint="eastAsia"/>
        </w:rPr>
        <w:t>爆破作业合同备案和项目审批；</w:t>
      </w:r>
    </w:p>
    <w:p w14:paraId="1C3CCA90">
      <w:pPr>
        <w:pStyle w:val="175"/>
        <w:numPr>
          <w:ilvl w:val="0"/>
          <w:numId w:val="52"/>
        </w:numPr>
      </w:pPr>
      <w:r>
        <w:t>机械震源、车载钻机等设备管理</w:t>
      </w:r>
      <w:r>
        <w:rPr>
          <w:rFonts w:hint="eastAsia"/>
        </w:rPr>
        <w:t>；</w:t>
      </w:r>
    </w:p>
    <w:p w14:paraId="6C17F58A">
      <w:pPr>
        <w:pStyle w:val="175"/>
        <w:numPr>
          <w:ilvl w:val="0"/>
          <w:numId w:val="52"/>
        </w:numPr>
      </w:pPr>
      <w:r>
        <w:rPr>
          <w:rFonts w:hint="eastAsia"/>
        </w:rPr>
        <w:t>测量和排列布设、物探钻井、民用爆炸物品作业、震源激发等过程。</w:t>
      </w:r>
    </w:p>
    <w:p w14:paraId="501A65AE">
      <w:pPr>
        <w:pStyle w:val="106"/>
        <w:spacing w:before="120" w:after="120"/>
      </w:pPr>
      <w:bookmarkStart w:id="184" w:name="_Toc28853"/>
      <w:bookmarkStart w:id="185" w:name="_Toc16414"/>
      <w:bookmarkStart w:id="186" w:name="_Toc1347"/>
      <w:bookmarkStart w:id="187" w:name="_Toc14312"/>
      <w:bookmarkStart w:id="188" w:name="_Toc24196"/>
      <w:r>
        <w:rPr>
          <w:rFonts w:hint="eastAsia"/>
        </w:rPr>
        <w:t>钻井</w:t>
      </w:r>
      <w:bookmarkEnd w:id="184"/>
      <w:bookmarkEnd w:id="185"/>
      <w:bookmarkEnd w:id="186"/>
      <w:bookmarkEnd w:id="187"/>
      <w:bookmarkEnd w:id="188"/>
    </w:p>
    <w:p w14:paraId="41A53A89">
      <w:pPr>
        <w:pStyle w:val="57"/>
        <w:ind w:firstLine="420"/>
      </w:pPr>
      <w:r>
        <w:rPr>
          <w:rFonts w:hint="eastAsia"/>
        </w:rPr>
        <w:t>评价内容应包括但不限于：</w:t>
      </w:r>
    </w:p>
    <w:p w14:paraId="62DAA920">
      <w:pPr>
        <w:pStyle w:val="175"/>
        <w:numPr>
          <w:ilvl w:val="0"/>
          <w:numId w:val="53"/>
        </w:numPr>
      </w:pPr>
      <w:r>
        <w:rPr>
          <w:rFonts w:hint="eastAsia"/>
        </w:rPr>
        <w:t>针对特殊天气、特殊地形安全管控措施，井场周边环境、井队生活区、井场平面布置、安全距离；</w:t>
      </w:r>
    </w:p>
    <w:p w14:paraId="7B0B0F81">
      <w:pPr>
        <w:pStyle w:val="175"/>
        <w:numPr>
          <w:ilvl w:val="0"/>
          <w:numId w:val="53"/>
        </w:numPr>
      </w:pPr>
      <w:r>
        <w:t>作业施工的设备设施与工程设计</w:t>
      </w:r>
      <w:r>
        <w:rPr>
          <w:rFonts w:hint="eastAsia"/>
        </w:rPr>
        <w:t>、</w:t>
      </w:r>
      <w:r>
        <w:t>作业条件</w:t>
      </w:r>
      <w:r>
        <w:rPr>
          <w:rFonts w:hint="eastAsia"/>
        </w:rPr>
        <w:t>及</w:t>
      </w:r>
      <w:r>
        <w:t>环境</w:t>
      </w:r>
      <w:r>
        <w:rPr>
          <w:rFonts w:hint="eastAsia"/>
        </w:rPr>
        <w:t>的</w:t>
      </w:r>
      <w:r>
        <w:t>匹配</w:t>
      </w:r>
      <w:r>
        <w:rPr>
          <w:rFonts w:hint="eastAsia"/>
        </w:rPr>
        <w:t>性</w:t>
      </w:r>
      <w:r>
        <w:t>，</w:t>
      </w:r>
      <w:r>
        <w:rPr>
          <w:rFonts w:hint="eastAsia"/>
        </w:rPr>
        <w:t>设备安装及检测检验、井控装置安装与试压、</w:t>
      </w:r>
      <w:r>
        <w:t>仪器仪表、</w:t>
      </w:r>
      <w:r>
        <w:rPr>
          <w:rFonts w:hint="eastAsia"/>
        </w:rPr>
        <w:t>安全</w:t>
      </w:r>
      <w:r>
        <w:t>泄压</w:t>
      </w:r>
      <w:r>
        <w:rPr>
          <w:rFonts w:hint="eastAsia"/>
        </w:rPr>
        <w:t>设施</w:t>
      </w:r>
      <w:r>
        <w:t>检测</w:t>
      </w:r>
      <w:r>
        <w:rPr>
          <w:rFonts w:hint="eastAsia"/>
        </w:rPr>
        <w:t>，加重材料的储备；</w:t>
      </w:r>
    </w:p>
    <w:p w14:paraId="20CB37C5">
      <w:pPr>
        <w:pStyle w:val="175"/>
        <w:numPr>
          <w:ilvl w:val="0"/>
          <w:numId w:val="53"/>
        </w:numPr>
      </w:pPr>
      <w:r>
        <w:t>硫化氢环境作业安全风险防控措施</w:t>
      </w:r>
      <w:r>
        <w:rPr>
          <w:rFonts w:hint="eastAsia"/>
        </w:rPr>
        <w:t>、作业</w:t>
      </w:r>
      <w:r>
        <w:t>现场</w:t>
      </w:r>
      <w:r>
        <w:rPr>
          <w:rFonts w:hint="eastAsia"/>
        </w:rPr>
        <w:t>应急物资、</w:t>
      </w:r>
      <w:r>
        <w:t>消防器材配置</w:t>
      </w:r>
      <w:r>
        <w:rPr>
          <w:rFonts w:hint="eastAsia"/>
        </w:rPr>
        <w:t>；</w:t>
      </w:r>
    </w:p>
    <w:p w14:paraId="72717178">
      <w:pPr>
        <w:pStyle w:val="175"/>
        <w:numPr>
          <w:ilvl w:val="0"/>
          <w:numId w:val="53"/>
        </w:numPr>
      </w:pPr>
      <w:r>
        <w:t>井场易燃易爆区域的施工设备</w:t>
      </w:r>
      <w:r>
        <w:rPr>
          <w:rFonts w:hint="eastAsia"/>
        </w:rPr>
        <w:t>、电气仪表</w:t>
      </w:r>
      <w:r>
        <w:t>防火、防爆</w:t>
      </w:r>
      <w:r>
        <w:rPr>
          <w:rFonts w:hint="eastAsia"/>
        </w:rPr>
        <w:t>，设备设施供电及线路、井场设施防雷、防静电接地，可燃有毒气体检测、泥浆液面报警系统设置；</w:t>
      </w:r>
    </w:p>
    <w:p w14:paraId="7A0B6849">
      <w:pPr>
        <w:pStyle w:val="175"/>
        <w:numPr>
          <w:ilvl w:val="0"/>
          <w:numId w:val="53"/>
        </w:numPr>
      </w:pPr>
      <w:r>
        <w:rPr>
          <w:rFonts w:hint="eastAsia"/>
        </w:rPr>
        <w:t>钻井施工设计、井控措施、消防管理、交叉作业、危险告知、现场监督、安全管理制度、操作规程执行；</w:t>
      </w:r>
    </w:p>
    <w:p w14:paraId="2B81FE13">
      <w:pPr>
        <w:pStyle w:val="175"/>
        <w:numPr>
          <w:ilvl w:val="0"/>
          <w:numId w:val="53"/>
        </w:numPr>
      </w:pPr>
      <w:r>
        <w:rPr>
          <w:rFonts w:hint="eastAsia"/>
        </w:rPr>
        <w:t>钻井施工过程中重大事件对周边居民和设施、井队生活区的安全影响及应急处置；</w:t>
      </w:r>
    </w:p>
    <w:p w14:paraId="433B25DD">
      <w:pPr>
        <w:pStyle w:val="175"/>
        <w:numPr>
          <w:ilvl w:val="0"/>
          <w:numId w:val="53"/>
        </w:numPr>
      </w:pPr>
      <w:r>
        <w:rPr>
          <w:rFonts w:hint="eastAsia"/>
        </w:rPr>
        <w:t>钻井施工设计审查、开钻（开工）检查验收、钻开（射开）目的层前验收审批；</w:t>
      </w:r>
    </w:p>
    <w:p w14:paraId="3CDE883A">
      <w:pPr>
        <w:pStyle w:val="175"/>
        <w:numPr>
          <w:ilvl w:val="0"/>
          <w:numId w:val="53"/>
        </w:numPr>
      </w:pPr>
      <w:r>
        <w:rPr>
          <w:rFonts w:hint="eastAsia"/>
        </w:rPr>
        <w:t>高风险井井场选址、</w:t>
      </w:r>
      <w:r>
        <w:t>井控</w:t>
      </w:r>
      <w:r>
        <w:rPr>
          <w:rFonts w:hint="eastAsia"/>
        </w:rPr>
        <w:t>管理</w:t>
      </w:r>
      <w:r>
        <w:t>、设备设施安全</w:t>
      </w:r>
      <w:r>
        <w:rPr>
          <w:rFonts w:hint="eastAsia"/>
        </w:rPr>
        <w:t>。</w:t>
      </w:r>
    </w:p>
    <w:p w14:paraId="07F70CA2">
      <w:pPr>
        <w:pStyle w:val="106"/>
        <w:spacing w:before="120" w:after="120"/>
      </w:pPr>
      <w:bookmarkStart w:id="189" w:name="_Toc1471"/>
      <w:bookmarkStart w:id="190" w:name="_Toc13601"/>
      <w:bookmarkStart w:id="191" w:name="_Toc22962"/>
      <w:bookmarkStart w:id="192" w:name="_Toc9277"/>
      <w:bookmarkStart w:id="193" w:name="_Toc21047"/>
      <w:r>
        <w:rPr>
          <w:rFonts w:hint="eastAsia"/>
        </w:rPr>
        <w:t>录井</w:t>
      </w:r>
      <w:bookmarkEnd w:id="189"/>
      <w:bookmarkEnd w:id="190"/>
      <w:bookmarkEnd w:id="191"/>
      <w:bookmarkEnd w:id="192"/>
      <w:bookmarkEnd w:id="193"/>
    </w:p>
    <w:p w14:paraId="01EC675D">
      <w:pPr>
        <w:pStyle w:val="57"/>
        <w:ind w:firstLine="420"/>
      </w:pPr>
      <w:r>
        <w:rPr>
          <w:rFonts w:hint="eastAsia"/>
        </w:rPr>
        <w:t>评价内容应包括但不限于：</w:t>
      </w:r>
    </w:p>
    <w:p w14:paraId="3820E4DE">
      <w:pPr>
        <w:pStyle w:val="175"/>
        <w:numPr>
          <w:ilvl w:val="0"/>
          <w:numId w:val="54"/>
        </w:numPr>
      </w:pPr>
      <w:r>
        <w:t>钻井井场录井仪器房、地质值班房</w:t>
      </w:r>
      <w:r>
        <w:rPr>
          <w:rFonts w:hint="eastAsia"/>
        </w:rPr>
        <w:t>布置，电力线路、电气设备防爆，化学试剂及气样管理、安全要求；</w:t>
      </w:r>
    </w:p>
    <w:p w14:paraId="741AE9BE">
      <w:pPr>
        <w:pStyle w:val="175"/>
        <w:numPr>
          <w:ilvl w:val="0"/>
          <w:numId w:val="54"/>
        </w:numPr>
      </w:pPr>
      <w:r>
        <w:rPr>
          <w:rFonts w:hint="eastAsia"/>
        </w:rPr>
        <w:t>高风险井正压式防爆综合录井仪及其它井气测录井仪配备情况；</w:t>
      </w:r>
    </w:p>
    <w:p w14:paraId="705E8898">
      <w:pPr>
        <w:pStyle w:val="175"/>
        <w:numPr>
          <w:ilvl w:val="0"/>
          <w:numId w:val="54"/>
        </w:numPr>
      </w:pPr>
      <w:r>
        <w:t>录井仪器房烟雾、可燃气体、硫化氢等传感器</w:t>
      </w:r>
      <w:r>
        <w:rPr>
          <w:rFonts w:hint="eastAsia"/>
        </w:rPr>
        <w:t>、漏电保护装置、消防设施的配备情况；</w:t>
      </w:r>
    </w:p>
    <w:p w14:paraId="595FFC61">
      <w:pPr>
        <w:pStyle w:val="175"/>
        <w:numPr>
          <w:ilvl w:val="0"/>
          <w:numId w:val="53"/>
        </w:numPr>
      </w:pPr>
      <w:r>
        <w:t>硫化氢环境作业安全风险防控措施</w:t>
      </w:r>
      <w:r>
        <w:rPr>
          <w:rFonts w:hint="eastAsia"/>
        </w:rPr>
        <w:t>、作业</w:t>
      </w:r>
      <w:r>
        <w:t>现场</w:t>
      </w:r>
      <w:r>
        <w:rPr>
          <w:rFonts w:hint="eastAsia"/>
        </w:rPr>
        <w:t>应急物资、</w:t>
      </w:r>
      <w:r>
        <w:t>消防器材配置</w:t>
      </w:r>
      <w:r>
        <w:rPr>
          <w:rFonts w:hint="eastAsia"/>
        </w:rPr>
        <w:t>；</w:t>
      </w:r>
    </w:p>
    <w:p w14:paraId="3BDD1ADA">
      <w:pPr>
        <w:pStyle w:val="175"/>
        <w:numPr>
          <w:ilvl w:val="0"/>
          <w:numId w:val="54"/>
        </w:numPr>
      </w:pPr>
      <w:r>
        <w:rPr>
          <w:rFonts w:hint="eastAsia"/>
        </w:rPr>
        <w:t>钻时录井、岩屑录井、岩心录井、气测录井等作业的安全管理、井控管理、异常预报、设备设施检验检测及应急联动情况。</w:t>
      </w:r>
    </w:p>
    <w:p w14:paraId="4E4A09CF">
      <w:pPr>
        <w:pStyle w:val="106"/>
        <w:spacing w:before="120" w:after="120"/>
      </w:pPr>
      <w:bookmarkStart w:id="194" w:name="_Toc9957"/>
      <w:bookmarkStart w:id="195" w:name="_Toc26150"/>
      <w:bookmarkStart w:id="196" w:name="_Toc32345"/>
      <w:bookmarkStart w:id="197" w:name="_Toc25670"/>
      <w:bookmarkStart w:id="198" w:name="_Toc5632"/>
      <w:r>
        <w:rPr>
          <w:rFonts w:hint="eastAsia"/>
        </w:rPr>
        <w:t>测井</w:t>
      </w:r>
      <w:bookmarkEnd w:id="194"/>
      <w:bookmarkEnd w:id="195"/>
      <w:bookmarkEnd w:id="196"/>
      <w:bookmarkEnd w:id="197"/>
      <w:bookmarkEnd w:id="198"/>
    </w:p>
    <w:p w14:paraId="54EEFE29">
      <w:pPr>
        <w:pStyle w:val="57"/>
        <w:ind w:firstLine="420"/>
      </w:pPr>
      <w:r>
        <w:rPr>
          <w:rFonts w:hint="eastAsia"/>
        </w:rPr>
        <w:t>评价内容应包括但不限于：</w:t>
      </w:r>
    </w:p>
    <w:p w14:paraId="1C22D00B">
      <w:pPr>
        <w:pStyle w:val="175"/>
        <w:numPr>
          <w:ilvl w:val="0"/>
          <w:numId w:val="55"/>
        </w:numPr>
      </w:pPr>
      <w:r>
        <w:rPr>
          <w:rFonts w:hint="eastAsia"/>
        </w:rPr>
        <w:t>放射源、民爆物品使用单位资质、储存、运输、个体防护、现场应急处置；</w:t>
      </w:r>
    </w:p>
    <w:p w14:paraId="57FE0946">
      <w:pPr>
        <w:pStyle w:val="175"/>
        <w:numPr>
          <w:ilvl w:val="0"/>
          <w:numId w:val="55"/>
        </w:numPr>
      </w:pPr>
      <w:r>
        <w:rPr>
          <w:rFonts w:hint="eastAsia"/>
        </w:rPr>
        <w:t>测井、测试、射孔等测井工程井口防喷装置配备，射孔起爆装置安全防护技术措施设置；</w:t>
      </w:r>
    </w:p>
    <w:p w14:paraId="3FD3FFFD">
      <w:pPr>
        <w:pStyle w:val="175"/>
        <w:numPr>
          <w:ilvl w:val="0"/>
          <w:numId w:val="55"/>
        </w:numPr>
      </w:pPr>
      <w:r>
        <w:rPr>
          <w:rFonts w:hint="eastAsia"/>
        </w:rPr>
        <w:t>天滑轮、地滑轮配备防跳槽、防脱落装置；</w:t>
      </w:r>
    </w:p>
    <w:p w14:paraId="0BA5FE09">
      <w:pPr>
        <w:pStyle w:val="175"/>
        <w:numPr>
          <w:ilvl w:val="0"/>
          <w:numId w:val="55"/>
        </w:numPr>
      </w:pPr>
      <w:r>
        <w:rPr>
          <w:rFonts w:hint="eastAsia"/>
        </w:rPr>
        <w:t>下井仪器、射孔器材、电缆与高温、高压、硫化氢及其它特殊施工环境要求；</w:t>
      </w:r>
    </w:p>
    <w:p w14:paraId="0DB4E676">
      <w:pPr>
        <w:pStyle w:val="175"/>
        <w:numPr>
          <w:ilvl w:val="0"/>
          <w:numId w:val="55"/>
        </w:numPr>
      </w:pPr>
      <w:r>
        <w:rPr>
          <w:rFonts w:hint="eastAsia"/>
        </w:rPr>
        <w:t>裸眼测井、生产测井及射孔、井壁取心等作业过程安全管控措施。</w:t>
      </w:r>
    </w:p>
    <w:p w14:paraId="3ECE125E">
      <w:pPr>
        <w:pStyle w:val="106"/>
        <w:spacing w:before="120" w:after="120"/>
      </w:pPr>
      <w:bookmarkStart w:id="199" w:name="_Toc17569"/>
      <w:bookmarkStart w:id="200" w:name="_Toc20854"/>
      <w:bookmarkStart w:id="201" w:name="_Toc22874"/>
      <w:bookmarkStart w:id="202" w:name="_Toc16902"/>
      <w:bookmarkStart w:id="203" w:name="_Toc24493"/>
      <w:r>
        <w:rPr>
          <w:rFonts w:hint="eastAsia"/>
        </w:rPr>
        <w:t>井下作业</w:t>
      </w:r>
      <w:bookmarkEnd w:id="199"/>
      <w:bookmarkEnd w:id="200"/>
      <w:bookmarkEnd w:id="201"/>
      <w:bookmarkEnd w:id="202"/>
      <w:bookmarkEnd w:id="203"/>
    </w:p>
    <w:p w14:paraId="6601395D">
      <w:pPr>
        <w:pStyle w:val="57"/>
        <w:ind w:firstLine="420"/>
      </w:pPr>
      <w:r>
        <w:rPr>
          <w:rFonts w:hint="eastAsia"/>
        </w:rPr>
        <w:t>评价内容应包括但不限于：</w:t>
      </w:r>
    </w:p>
    <w:p w14:paraId="128E5E10">
      <w:pPr>
        <w:pStyle w:val="175"/>
        <w:numPr>
          <w:ilvl w:val="0"/>
          <w:numId w:val="56"/>
        </w:numPr>
      </w:pPr>
      <w:r>
        <w:rPr>
          <w:rFonts w:hint="eastAsia"/>
        </w:rPr>
        <w:t>作业井场周边环境、平面布置、设备设施安装、井控设施配置、井场用电安全；</w:t>
      </w:r>
    </w:p>
    <w:p w14:paraId="720F3F03">
      <w:pPr>
        <w:pStyle w:val="175"/>
        <w:numPr>
          <w:ilvl w:val="0"/>
          <w:numId w:val="56"/>
        </w:numPr>
      </w:pPr>
      <w:r>
        <w:rPr>
          <w:rFonts w:hint="eastAsia"/>
        </w:rPr>
        <w:t>井场设施供配电、防雷防静电接地，电气设备防爆，消防设施配备；</w:t>
      </w:r>
    </w:p>
    <w:p w14:paraId="3C3EBFF4">
      <w:pPr>
        <w:pStyle w:val="175"/>
        <w:numPr>
          <w:ilvl w:val="0"/>
          <w:numId w:val="56"/>
        </w:numPr>
      </w:pPr>
      <w:r>
        <w:rPr>
          <w:rFonts w:hint="eastAsia"/>
        </w:rPr>
        <w:t>侧钻、起下管柱、射孔、压裂、试油（气）、带压作业、地层测试等施工作业安全管控措施；</w:t>
      </w:r>
    </w:p>
    <w:p w14:paraId="3364BC0F">
      <w:pPr>
        <w:pStyle w:val="175"/>
        <w:numPr>
          <w:ilvl w:val="0"/>
          <w:numId w:val="56"/>
        </w:numPr>
      </w:pPr>
      <w:r>
        <w:rPr>
          <w:rFonts w:hint="eastAsia"/>
        </w:rPr>
        <w:t>修井设备、吊具、井控设施、高压管汇、安全附件检测；</w:t>
      </w:r>
    </w:p>
    <w:p w14:paraId="556343B7">
      <w:pPr>
        <w:pStyle w:val="175"/>
        <w:numPr>
          <w:ilvl w:val="0"/>
          <w:numId w:val="53"/>
        </w:numPr>
      </w:pPr>
      <w:r>
        <w:t>硫化氢环境作业安全风险防控措施</w:t>
      </w:r>
      <w:r>
        <w:rPr>
          <w:rFonts w:hint="eastAsia"/>
        </w:rPr>
        <w:t>、作业</w:t>
      </w:r>
      <w:r>
        <w:t>现场</w:t>
      </w:r>
      <w:r>
        <w:rPr>
          <w:rFonts w:hint="eastAsia"/>
        </w:rPr>
        <w:t>应急物资、</w:t>
      </w:r>
      <w:r>
        <w:t>消防器材配置</w:t>
      </w:r>
      <w:r>
        <w:rPr>
          <w:rFonts w:hint="eastAsia"/>
        </w:rPr>
        <w:t>；</w:t>
      </w:r>
    </w:p>
    <w:p w14:paraId="5E41464D">
      <w:pPr>
        <w:pStyle w:val="175"/>
        <w:numPr>
          <w:ilvl w:val="0"/>
          <w:numId w:val="56"/>
        </w:numPr>
      </w:pPr>
      <w:r>
        <w:t>压裂施工现场划分工作界面、区域</w:t>
      </w:r>
      <w:r>
        <w:rPr>
          <w:rFonts w:hint="eastAsia"/>
        </w:rPr>
        <w:t>，</w:t>
      </w:r>
      <w:r>
        <w:t>准入管理</w:t>
      </w:r>
      <w:r>
        <w:rPr>
          <w:rFonts w:hint="eastAsia"/>
        </w:rPr>
        <w:t>、作业安全防护措施</w:t>
      </w:r>
      <w:r>
        <w:t>。</w:t>
      </w:r>
    </w:p>
    <w:p w14:paraId="14C79F89">
      <w:pPr>
        <w:pStyle w:val="106"/>
        <w:spacing w:before="120" w:after="120"/>
      </w:pPr>
      <w:bookmarkStart w:id="204" w:name="_Toc5258"/>
      <w:bookmarkStart w:id="205" w:name="_Toc18948"/>
      <w:bookmarkStart w:id="206" w:name="_Toc29564"/>
      <w:bookmarkStart w:id="207" w:name="_Toc10663"/>
      <w:bookmarkStart w:id="208" w:name="_Toc26376"/>
      <w:r>
        <w:rPr>
          <w:rFonts w:hint="eastAsia"/>
        </w:rPr>
        <w:t>油建</w:t>
      </w:r>
      <w:bookmarkEnd w:id="204"/>
      <w:bookmarkEnd w:id="205"/>
      <w:bookmarkEnd w:id="206"/>
      <w:bookmarkEnd w:id="207"/>
      <w:bookmarkEnd w:id="208"/>
    </w:p>
    <w:p w14:paraId="549A481D">
      <w:pPr>
        <w:pStyle w:val="57"/>
        <w:ind w:firstLine="420"/>
      </w:pPr>
      <w:r>
        <w:rPr>
          <w:rFonts w:hint="eastAsia"/>
        </w:rPr>
        <w:t>评价内容应包括但不限于：</w:t>
      </w:r>
    </w:p>
    <w:p w14:paraId="3DF3C4E1">
      <w:pPr>
        <w:pStyle w:val="175"/>
        <w:numPr>
          <w:ilvl w:val="0"/>
          <w:numId w:val="57"/>
        </w:numPr>
      </w:pPr>
      <w:r>
        <w:t>施工现场平面</w:t>
      </w:r>
      <w:r>
        <w:rPr>
          <w:rFonts w:hint="eastAsia"/>
        </w:rPr>
        <w:t>布置、用电线路、</w:t>
      </w:r>
      <w:r>
        <w:t>消防通道</w:t>
      </w:r>
      <w:r>
        <w:rPr>
          <w:rFonts w:hint="eastAsia"/>
        </w:rPr>
        <w:t>设置及消防器材配备、季节防护措施；</w:t>
      </w:r>
    </w:p>
    <w:p w14:paraId="7B508032">
      <w:pPr>
        <w:pStyle w:val="175"/>
        <w:numPr>
          <w:ilvl w:val="0"/>
          <w:numId w:val="57"/>
        </w:numPr>
      </w:pPr>
      <w:r>
        <w:rPr>
          <w:rFonts w:hint="eastAsia"/>
        </w:rPr>
        <w:t>施工现场设备设施检测，</w:t>
      </w:r>
      <w:r>
        <w:t>施工器材堆放</w:t>
      </w:r>
      <w:r>
        <w:rPr>
          <w:rFonts w:hint="eastAsia"/>
        </w:rPr>
        <w:t>、</w:t>
      </w:r>
      <w:r>
        <w:t>室外存放的设备和施工材料防雨、防积水、防晒</w:t>
      </w:r>
      <w:r>
        <w:rPr>
          <w:rFonts w:hint="eastAsia"/>
        </w:rPr>
        <w:t>等</w:t>
      </w:r>
      <w:r>
        <w:t>措施</w:t>
      </w:r>
      <w:r>
        <w:rPr>
          <w:rFonts w:hint="eastAsia"/>
        </w:rPr>
        <w:t>；</w:t>
      </w:r>
    </w:p>
    <w:p w14:paraId="61E97197">
      <w:pPr>
        <w:pStyle w:val="175"/>
        <w:numPr>
          <w:ilvl w:val="0"/>
          <w:numId w:val="57"/>
        </w:numPr>
      </w:pPr>
      <w:r>
        <w:rPr>
          <w:rFonts w:hint="eastAsia"/>
        </w:rPr>
        <w:t>施工现场安全设施的设置，如吊装作业、容器及管道试压作业、爆破作业等施工区域设置明显的警示标识、警戒线或围栏，安全隔离防护、可燃有毒气体监测等措施；</w:t>
      </w:r>
    </w:p>
    <w:p w14:paraId="7419DF97">
      <w:pPr>
        <w:pStyle w:val="175"/>
        <w:numPr>
          <w:ilvl w:val="0"/>
          <w:numId w:val="57"/>
        </w:numPr>
      </w:pPr>
      <w:r>
        <w:rPr>
          <w:rFonts w:hint="eastAsia"/>
        </w:rPr>
        <w:t>井站（场）及配套设施动火，抽油机、储罐等大型吊装、井口管线、集输管道试压、动火连头及脚手架作业等高风险施工</w:t>
      </w:r>
      <w:r>
        <w:t>制定专项安全</w:t>
      </w:r>
      <w:r>
        <w:rPr>
          <w:rFonts w:hint="eastAsia"/>
        </w:rPr>
        <w:t>技术</w:t>
      </w:r>
      <w:r>
        <w:t>方案</w:t>
      </w:r>
      <w:r>
        <w:rPr>
          <w:rFonts w:hint="eastAsia"/>
        </w:rPr>
        <w:t>。</w:t>
      </w:r>
    </w:p>
    <w:p w14:paraId="78CC0107">
      <w:pPr>
        <w:pStyle w:val="105"/>
        <w:spacing w:before="240" w:after="240"/>
      </w:pPr>
      <w:bookmarkStart w:id="209" w:name="_Toc32370"/>
      <w:bookmarkStart w:id="210" w:name="_Toc10012"/>
      <w:bookmarkStart w:id="211" w:name="_Toc13385"/>
      <w:bookmarkStart w:id="212" w:name="_Toc31903"/>
      <w:bookmarkStart w:id="213" w:name="_Toc7353"/>
      <w:r>
        <w:rPr>
          <w:rFonts w:hint="eastAsia"/>
        </w:rPr>
        <w:t>安全管理单元评价</w:t>
      </w:r>
      <w:bookmarkEnd w:id="209"/>
      <w:bookmarkEnd w:id="210"/>
      <w:bookmarkEnd w:id="211"/>
      <w:bookmarkEnd w:id="212"/>
      <w:bookmarkEnd w:id="213"/>
    </w:p>
    <w:p w14:paraId="58856293">
      <w:pPr>
        <w:pStyle w:val="57"/>
        <w:ind w:firstLine="420"/>
      </w:pPr>
      <w:r>
        <w:rPr>
          <w:rFonts w:hint="eastAsia"/>
        </w:rPr>
        <w:t>评价内容包括但不限于：</w:t>
      </w:r>
    </w:p>
    <w:p w14:paraId="591CEF22">
      <w:pPr>
        <w:pStyle w:val="175"/>
        <w:numPr>
          <w:ilvl w:val="0"/>
          <w:numId w:val="58"/>
        </w:numPr>
        <w:tabs>
          <w:tab w:val="left" w:pos="839"/>
          <w:tab w:val="clear" w:pos="851"/>
        </w:tabs>
      </w:pPr>
      <w:r>
        <w:rPr>
          <w:rFonts w:hint="eastAsia"/>
        </w:rPr>
        <w:t>安全生产管理机构设置及专职安全生产管理人员、注册安全工程师的配备；</w:t>
      </w:r>
    </w:p>
    <w:p w14:paraId="1292B4FF">
      <w:pPr>
        <w:pStyle w:val="175"/>
        <w:numPr>
          <w:ilvl w:val="0"/>
          <w:numId w:val="58"/>
        </w:numPr>
        <w:tabs>
          <w:tab w:val="left" w:pos="839"/>
          <w:tab w:val="clear" w:pos="851"/>
        </w:tabs>
      </w:pPr>
      <w:r>
        <w:rPr>
          <w:rFonts w:hint="eastAsia"/>
        </w:rPr>
        <w:t>安全生产责任制的制定和考核；</w:t>
      </w:r>
    </w:p>
    <w:p w14:paraId="3B566936">
      <w:pPr>
        <w:pStyle w:val="175"/>
        <w:numPr>
          <w:ilvl w:val="0"/>
          <w:numId w:val="58"/>
        </w:numPr>
        <w:tabs>
          <w:tab w:val="left" w:pos="839"/>
          <w:tab w:val="clear" w:pos="851"/>
        </w:tabs>
      </w:pPr>
      <w:r>
        <w:rPr>
          <w:rFonts w:hint="eastAsia" w:ascii="Times New Roman"/>
          <w:szCs w:val="21"/>
        </w:rPr>
        <w:t>安全管理制度的制定及执行；</w:t>
      </w:r>
    </w:p>
    <w:p w14:paraId="38236673">
      <w:pPr>
        <w:pStyle w:val="175"/>
        <w:numPr>
          <w:ilvl w:val="0"/>
          <w:numId w:val="58"/>
        </w:numPr>
        <w:tabs>
          <w:tab w:val="left" w:pos="839"/>
          <w:tab w:val="clear" w:pos="851"/>
        </w:tabs>
      </w:pPr>
      <w:r>
        <w:rPr>
          <w:rFonts w:hint="eastAsia"/>
        </w:rPr>
        <w:t>作业安全规程和岗位操作规程的制定和执行；</w:t>
      </w:r>
    </w:p>
    <w:p w14:paraId="0E09C1B0">
      <w:pPr>
        <w:pStyle w:val="175"/>
        <w:numPr>
          <w:ilvl w:val="0"/>
          <w:numId w:val="58"/>
        </w:numPr>
        <w:tabs>
          <w:tab w:val="left" w:pos="839"/>
          <w:tab w:val="clear" w:pos="851"/>
        </w:tabs>
      </w:pPr>
      <w:r>
        <w:rPr>
          <w:rFonts w:hint="eastAsia"/>
        </w:rPr>
        <w:t>安全培训及持证上岗；</w:t>
      </w:r>
    </w:p>
    <w:p w14:paraId="13907ED1">
      <w:pPr>
        <w:pStyle w:val="175"/>
        <w:numPr>
          <w:ilvl w:val="0"/>
          <w:numId w:val="58"/>
        </w:numPr>
        <w:tabs>
          <w:tab w:val="left" w:pos="839"/>
          <w:tab w:val="clear" w:pos="851"/>
        </w:tabs>
      </w:pPr>
      <w:r>
        <w:rPr>
          <w:rFonts w:hint="eastAsia"/>
        </w:rPr>
        <w:t>安全生产费用提取和使用；</w:t>
      </w:r>
    </w:p>
    <w:p w14:paraId="00AA72FE">
      <w:pPr>
        <w:pStyle w:val="175"/>
        <w:numPr>
          <w:ilvl w:val="0"/>
          <w:numId w:val="58"/>
        </w:numPr>
        <w:tabs>
          <w:tab w:val="left" w:pos="839"/>
          <w:tab w:val="clear" w:pos="851"/>
        </w:tabs>
      </w:pPr>
      <w:r>
        <w:rPr>
          <w:rFonts w:hint="eastAsia"/>
        </w:rPr>
        <w:t>员工工伤保险、安全生产责任险缴纳；</w:t>
      </w:r>
    </w:p>
    <w:p w14:paraId="3DF47D79">
      <w:pPr>
        <w:pStyle w:val="175"/>
        <w:numPr>
          <w:ilvl w:val="0"/>
          <w:numId w:val="58"/>
        </w:numPr>
        <w:tabs>
          <w:tab w:val="left" w:pos="839"/>
          <w:tab w:val="clear" w:pos="851"/>
        </w:tabs>
      </w:pPr>
      <w:r>
        <w:rPr>
          <w:rFonts w:hint="eastAsia"/>
        </w:rPr>
        <w:t>个体防护用品配备；</w:t>
      </w:r>
    </w:p>
    <w:p w14:paraId="6471F165">
      <w:pPr>
        <w:pStyle w:val="175"/>
        <w:numPr>
          <w:ilvl w:val="0"/>
          <w:numId w:val="58"/>
        </w:numPr>
        <w:tabs>
          <w:tab w:val="left" w:pos="839"/>
          <w:tab w:val="clear" w:pos="851"/>
        </w:tabs>
      </w:pPr>
      <w:r>
        <w:rPr>
          <w:rFonts w:hint="eastAsia"/>
        </w:rPr>
        <w:t>双重预防机制及石油天然气开采重大事故隐患判定；</w:t>
      </w:r>
    </w:p>
    <w:p w14:paraId="2594E776">
      <w:pPr>
        <w:pStyle w:val="175"/>
        <w:numPr>
          <w:ilvl w:val="0"/>
          <w:numId w:val="58"/>
        </w:numPr>
        <w:tabs>
          <w:tab w:val="left" w:pos="839"/>
          <w:tab w:val="clear" w:pos="851"/>
        </w:tabs>
        <w:rPr>
          <w:rFonts w:ascii="Times New Roman"/>
          <w:szCs w:val="21"/>
        </w:rPr>
      </w:pPr>
      <w:r>
        <w:rPr>
          <w:rFonts w:hint="eastAsia" w:ascii="Times New Roman"/>
          <w:szCs w:val="21"/>
        </w:rPr>
        <w:t>现场作业安全管理；</w:t>
      </w:r>
    </w:p>
    <w:p w14:paraId="2EB697D5">
      <w:pPr>
        <w:pStyle w:val="175"/>
        <w:numPr>
          <w:ilvl w:val="0"/>
          <w:numId w:val="58"/>
        </w:numPr>
        <w:tabs>
          <w:tab w:val="left" w:pos="839"/>
          <w:tab w:val="clear" w:pos="851"/>
        </w:tabs>
        <w:rPr>
          <w:rFonts w:ascii="Times New Roman"/>
          <w:szCs w:val="21"/>
        </w:rPr>
      </w:pPr>
      <w:r>
        <w:rPr>
          <w:rFonts w:hint="eastAsia" w:ascii="Times New Roman"/>
          <w:szCs w:val="21"/>
        </w:rPr>
        <w:t>承包商管理；</w:t>
      </w:r>
    </w:p>
    <w:p w14:paraId="285DC35B">
      <w:pPr>
        <w:pStyle w:val="175"/>
        <w:numPr>
          <w:ilvl w:val="0"/>
          <w:numId w:val="58"/>
        </w:numPr>
        <w:tabs>
          <w:tab w:val="left" w:pos="839"/>
          <w:tab w:val="clear" w:pos="851"/>
        </w:tabs>
      </w:pPr>
      <w:r>
        <w:rPr>
          <w:rFonts w:hint="eastAsia"/>
        </w:rPr>
        <w:t>变更管理；</w:t>
      </w:r>
    </w:p>
    <w:p w14:paraId="2E7A2748">
      <w:pPr>
        <w:pStyle w:val="175"/>
        <w:numPr>
          <w:ilvl w:val="0"/>
          <w:numId w:val="58"/>
        </w:numPr>
        <w:tabs>
          <w:tab w:val="left" w:pos="839"/>
          <w:tab w:val="clear" w:pos="851"/>
        </w:tabs>
      </w:pPr>
      <w:r>
        <w:rPr>
          <w:rFonts w:hint="eastAsia"/>
        </w:rPr>
        <w:t>应急管理；</w:t>
      </w:r>
    </w:p>
    <w:p w14:paraId="7A837D44">
      <w:pPr>
        <w:pStyle w:val="175"/>
        <w:numPr>
          <w:ilvl w:val="0"/>
          <w:numId w:val="58"/>
        </w:numPr>
        <w:tabs>
          <w:tab w:val="left" w:pos="839"/>
          <w:tab w:val="clear" w:pos="851"/>
        </w:tabs>
      </w:pPr>
      <w:r>
        <w:rPr>
          <w:rFonts w:hint="eastAsia"/>
        </w:rPr>
        <w:t>事故事件管理。</w:t>
      </w:r>
    </w:p>
    <w:p w14:paraId="5A9C71CF">
      <w:pPr>
        <w:pStyle w:val="175"/>
        <w:numPr>
          <w:ilvl w:val="0"/>
          <w:numId w:val="58"/>
        </w:numPr>
      </w:pPr>
      <w:r>
        <w:rPr>
          <w:rFonts w:hint="eastAsia"/>
        </w:rPr>
        <w:t>对申请安全生产许可证的安全现状评价，应根据国家有关规定检查企业现有安全生产条件的符合情况。</w:t>
      </w:r>
    </w:p>
    <w:p w14:paraId="7710473B">
      <w:pPr>
        <w:pStyle w:val="105"/>
        <w:spacing w:before="240" w:after="240"/>
      </w:pPr>
      <w:bookmarkStart w:id="214" w:name="_Toc29181"/>
      <w:bookmarkStart w:id="215" w:name="_Toc14521"/>
      <w:bookmarkStart w:id="216" w:name="_Toc14162"/>
      <w:bookmarkStart w:id="217" w:name="_Toc29883"/>
      <w:bookmarkStart w:id="218" w:name="_Toc24526"/>
      <w:r>
        <w:rPr>
          <w:rFonts w:hint="eastAsia"/>
        </w:rPr>
        <w:t>安全对策措施及建议</w:t>
      </w:r>
      <w:bookmarkEnd w:id="214"/>
      <w:bookmarkEnd w:id="215"/>
      <w:bookmarkEnd w:id="216"/>
      <w:bookmarkEnd w:id="217"/>
      <w:bookmarkEnd w:id="218"/>
    </w:p>
    <w:p w14:paraId="6D9532DC">
      <w:pPr>
        <w:pStyle w:val="57"/>
        <w:ind w:firstLine="420"/>
      </w:pPr>
      <w:r>
        <w:rPr>
          <w:rFonts w:hint="eastAsia"/>
        </w:rPr>
        <w:t>根据危险有害因素辨识、现场调研和单元评价的结果，提出预防事故、降低风险、减少事故影响的安全对策措施及建议：</w:t>
      </w:r>
    </w:p>
    <w:p w14:paraId="7D465707">
      <w:pPr>
        <w:pStyle w:val="57"/>
        <w:ind w:firstLine="420"/>
      </w:pPr>
      <w:r>
        <w:rPr>
          <w:rFonts w:hint="eastAsia"/>
        </w:rPr>
        <w:t>a）说明企业对安全现状评价过程中提出问题的整改情况；暂无法整改的应说明采取的安全措施或整改计划。</w:t>
      </w:r>
    </w:p>
    <w:p w14:paraId="5A3FC4EC">
      <w:pPr>
        <w:pStyle w:val="57"/>
        <w:ind w:firstLine="420"/>
      </w:pPr>
      <w:r>
        <w:rPr>
          <w:rFonts w:hint="eastAsia"/>
        </w:rPr>
        <w:t>b）结合单元评价结果，从生产运行、安全管理方面提出针对性的安全对策措施及建议。</w:t>
      </w:r>
    </w:p>
    <w:p w14:paraId="44696804">
      <w:pPr>
        <w:pStyle w:val="105"/>
        <w:spacing w:before="240" w:after="240"/>
      </w:pPr>
      <w:bookmarkStart w:id="219" w:name="_Toc21533"/>
      <w:bookmarkStart w:id="220" w:name="_Toc20819"/>
      <w:bookmarkStart w:id="221" w:name="_Toc8290"/>
      <w:bookmarkStart w:id="222" w:name="_Toc19047"/>
      <w:bookmarkStart w:id="223" w:name="_Toc17350"/>
      <w:r>
        <w:rPr>
          <w:rFonts w:hint="eastAsia"/>
        </w:rPr>
        <w:t>安全现状评价结论</w:t>
      </w:r>
      <w:bookmarkEnd w:id="219"/>
      <w:bookmarkEnd w:id="220"/>
      <w:bookmarkEnd w:id="221"/>
      <w:bookmarkEnd w:id="222"/>
      <w:bookmarkEnd w:id="223"/>
    </w:p>
    <w:p w14:paraId="17EA59BE">
      <w:pPr>
        <w:pStyle w:val="57"/>
        <w:ind w:left="420" w:leftChars="200" w:firstLine="0" w:firstLineChars="0"/>
      </w:pPr>
      <w:r>
        <w:rPr>
          <w:rFonts w:hint="eastAsia"/>
        </w:rPr>
        <w:t>概括评价内容，明确安全现状评价结论，应包括：</w:t>
      </w:r>
    </w:p>
    <w:p w14:paraId="2AEDDBE1">
      <w:pPr>
        <w:pStyle w:val="175"/>
        <w:numPr>
          <w:ilvl w:val="0"/>
          <w:numId w:val="59"/>
        </w:numPr>
      </w:pPr>
      <w:r>
        <w:rPr>
          <w:rFonts w:hint="eastAsia"/>
        </w:rPr>
        <w:t>经危险有害因素辨识与分析，列出</w:t>
      </w:r>
      <w:r>
        <w:t>企业涉及的主要危险物质</w:t>
      </w:r>
      <w:r>
        <w:rPr>
          <w:rFonts w:hint="eastAsia"/>
        </w:rPr>
        <w:t>、主要危险有害因素；</w:t>
      </w:r>
    </w:p>
    <w:p w14:paraId="6CBB6F90">
      <w:pPr>
        <w:pStyle w:val="175"/>
        <w:numPr>
          <w:ilvl w:val="0"/>
          <w:numId w:val="59"/>
        </w:numPr>
      </w:pPr>
      <w:r>
        <w:rPr>
          <w:rFonts w:hint="eastAsia"/>
        </w:rPr>
        <w:t>说明设备设施及生产作业单元评价结论；</w:t>
      </w:r>
    </w:p>
    <w:p w14:paraId="03E4C24E">
      <w:pPr>
        <w:pStyle w:val="175"/>
        <w:numPr>
          <w:ilvl w:val="0"/>
          <w:numId w:val="59"/>
        </w:numPr>
      </w:pPr>
      <w:r>
        <w:rPr>
          <w:rFonts w:hint="eastAsia"/>
        </w:rPr>
        <w:t>说明安全管理单元评价结论；</w:t>
      </w:r>
    </w:p>
    <w:p w14:paraId="332271DC">
      <w:pPr>
        <w:pStyle w:val="175"/>
        <w:numPr>
          <w:ilvl w:val="0"/>
          <w:numId w:val="59"/>
        </w:numPr>
      </w:pPr>
      <w:r>
        <w:rPr>
          <w:rFonts w:hint="eastAsia"/>
        </w:rPr>
        <w:t>安全现状评价总体结论</w:t>
      </w:r>
      <w:r>
        <w:t>，给出企业是否符合</w:t>
      </w:r>
      <w:r>
        <w:rPr>
          <w:rFonts w:hint="eastAsia"/>
        </w:rPr>
        <w:t>国家有关法律法规、部门规章、地方性法规、规范性文件和标准</w:t>
      </w:r>
      <w:r>
        <w:t>的明确结论。</w:t>
      </w:r>
    </w:p>
    <w:p w14:paraId="0C783196">
      <w:pPr>
        <w:pStyle w:val="105"/>
        <w:spacing w:before="240" w:after="240"/>
      </w:pPr>
      <w:bookmarkStart w:id="224" w:name="_Toc16506"/>
      <w:bookmarkStart w:id="225" w:name="_Toc5761"/>
      <w:bookmarkStart w:id="226" w:name="_Toc32076"/>
      <w:bookmarkStart w:id="227" w:name="_Toc13728"/>
      <w:bookmarkStart w:id="228" w:name="_Toc1687"/>
      <w:r>
        <w:rPr>
          <w:rFonts w:hint="eastAsia"/>
        </w:rPr>
        <w:t>附件与附图</w:t>
      </w:r>
      <w:bookmarkEnd w:id="224"/>
    </w:p>
    <w:p w14:paraId="24C8644A">
      <w:pPr>
        <w:pStyle w:val="106"/>
        <w:spacing w:before="120" w:after="120"/>
      </w:pPr>
      <w:bookmarkStart w:id="229" w:name="_Toc10292"/>
      <w:r>
        <w:rPr>
          <w:rFonts w:hint="eastAsia"/>
        </w:rPr>
        <w:t>附件</w:t>
      </w:r>
      <w:bookmarkEnd w:id="229"/>
    </w:p>
    <w:p w14:paraId="6281B193">
      <w:pPr>
        <w:pStyle w:val="57"/>
        <w:ind w:firstLine="420"/>
      </w:pPr>
      <w:r>
        <w:rPr>
          <w:rFonts w:hint="eastAsia"/>
        </w:rPr>
        <w:t>报告附件应包括但不限于：</w:t>
      </w:r>
    </w:p>
    <w:p w14:paraId="590FA3F7">
      <w:pPr>
        <w:pStyle w:val="175"/>
        <w:numPr>
          <w:ilvl w:val="0"/>
          <w:numId w:val="60"/>
        </w:numPr>
      </w:pPr>
      <w:r>
        <w:rPr>
          <w:rFonts w:hint="eastAsia"/>
        </w:rPr>
        <w:t>安全现状评价工作合同或委托书；</w:t>
      </w:r>
    </w:p>
    <w:p w14:paraId="2A267D92">
      <w:pPr>
        <w:pStyle w:val="175"/>
        <w:numPr>
          <w:ilvl w:val="0"/>
          <w:numId w:val="60"/>
        </w:numPr>
      </w:pPr>
      <w:r>
        <w:rPr>
          <w:rFonts w:hint="eastAsia"/>
        </w:rPr>
        <w:t>企业营业执照；</w:t>
      </w:r>
    </w:p>
    <w:p w14:paraId="08533C6D">
      <w:pPr>
        <w:pStyle w:val="175"/>
        <w:numPr>
          <w:ilvl w:val="0"/>
          <w:numId w:val="60"/>
        </w:numPr>
      </w:pPr>
      <w:r>
        <w:rPr>
          <w:rFonts w:hint="eastAsia"/>
        </w:rPr>
        <w:t>安全生产许可证；</w:t>
      </w:r>
    </w:p>
    <w:p w14:paraId="1D8371D9">
      <w:pPr>
        <w:pStyle w:val="175"/>
        <w:numPr>
          <w:ilvl w:val="0"/>
          <w:numId w:val="60"/>
        </w:numPr>
      </w:pPr>
      <w:r>
        <w:rPr>
          <w:rFonts w:hint="eastAsia"/>
        </w:rPr>
        <w:t>安全生产责任制、安全管理制度、操作规程等封面、签署页和目录；</w:t>
      </w:r>
    </w:p>
    <w:p w14:paraId="77A4C500">
      <w:pPr>
        <w:pStyle w:val="175"/>
        <w:numPr>
          <w:ilvl w:val="0"/>
          <w:numId w:val="60"/>
        </w:numPr>
      </w:pPr>
      <w:r>
        <w:rPr>
          <w:rFonts w:hint="eastAsia"/>
        </w:rPr>
        <w:t>安全生产管理机构设置文件、安全生产管理人员任命文件；</w:t>
      </w:r>
    </w:p>
    <w:p w14:paraId="099048CB">
      <w:pPr>
        <w:pStyle w:val="175"/>
        <w:numPr>
          <w:ilvl w:val="0"/>
          <w:numId w:val="60"/>
        </w:numPr>
      </w:pPr>
      <w:r>
        <w:rPr>
          <w:rFonts w:hint="eastAsia"/>
        </w:rPr>
        <w:t>主要负责人、安全管理人员安全生产知识与管理能力考核合格证书、注册安全工程师证书样张；</w:t>
      </w:r>
    </w:p>
    <w:p w14:paraId="7AE931A0">
      <w:pPr>
        <w:pStyle w:val="175"/>
        <w:numPr>
          <w:ilvl w:val="0"/>
          <w:numId w:val="60"/>
        </w:numPr>
      </w:pPr>
      <w:r>
        <w:rPr>
          <w:rFonts w:hint="eastAsia"/>
        </w:rPr>
        <w:t>特种设备作业人员和特种作业人员证书样张；</w:t>
      </w:r>
    </w:p>
    <w:p w14:paraId="7BB12B78">
      <w:pPr>
        <w:pStyle w:val="175"/>
        <w:numPr>
          <w:ilvl w:val="0"/>
          <w:numId w:val="60"/>
        </w:numPr>
      </w:pPr>
      <w:r>
        <w:rPr>
          <w:rFonts w:hint="eastAsia"/>
        </w:rPr>
        <w:t>井控培训合格证、硫化氢培训合格证样张；</w:t>
      </w:r>
    </w:p>
    <w:p w14:paraId="60BCF877">
      <w:pPr>
        <w:pStyle w:val="175"/>
        <w:numPr>
          <w:ilvl w:val="0"/>
          <w:numId w:val="60"/>
        </w:numPr>
      </w:pPr>
      <w:r>
        <w:rPr>
          <w:rFonts w:hint="eastAsia"/>
        </w:rPr>
        <w:t>其他从业人员安全教育、培训台账及培训、考核记录；</w:t>
      </w:r>
    </w:p>
    <w:p w14:paraId="582992DB">
      <w:pPr>
        <w:pStyle w:val="175"/>
        <w:numPr>
          <w:ilvl w:val="0"/>
          <w:numId w:val="60"/>
        </w:numPr>
      </w:pPr>
      <w:r>
        <w:rPr>
          <w:rFonts w:hint="eastAsia"/>
        </w:rPr>
        <w:t>特种设备检测检验报告样张；</w:t>
      </w:r>
    </w:p>
    <w:p w14:paraId="38DC6690">
      <w:pPr>
        <w:pStyle w:val="175"/>
        <w:numPr>
          <w:ilvl w:val="0"/>
          <w:numId w:val="60"/>
        </w:numPr>
      </w:pPr>
      <w:r>
        <w:rPr>
          <w:rFonts w:hint="eastAsia"/>
        </w:rPr>
        <w:t>安全阀校验报告样张；</w:t>
      </w:r>
    </w:p>
    <w:p w14:paraId="6C2DC8F7">
      <w:pPr>
        <w:pStyle w:val="175"/>
        <w:numPr>
          <w:ilvl w:val="0"/>
          <w:numId w:val="60"/>
        </w:numPr>
      </w:pPr>
      <w:r>
        <w:rPr>
          <w:rFonts w:hint="eastAsia"/>
        </w:rPr>
        <w:t>可燃气体和有毒气体检测报警及防护设施检测报告样张；</w:t>
      </w:r>
    </w:p>
    <w:p w14:paraId="4C455EE8">
      <w:pPr>
        <w:pStyle w:val="175"/>
        <w:numPr>
          <w:ilvl w:val="0"/>
          <w:numId w:val="60"/>
        </w:numPr>
      </w:pPr>
      <w:r>
        <w:rPr>
          <w:rFonts w:hint="eastAsia"/>
        </w:rPr>
        <w:t>防雷防静电设施检测报告；</w:t>
      </w:r>
    </w:p>
    <w:p w14:paraId="21E7C9B5">
      <w:pPr>
        <w:pStyle w:val="175"/>
        <w:numPr>
          <w:ilvl w:val="0"/>
          <w:numId w:val="60"/>
        </w:numPr>
      </w:pPr>
      <w:r>
        <w:rPr>
          <w:rFonts w:hint="eastAsia"/>
        </w:rPr>
        <w:t>防爆电气检验报告；</w:t>
      </w:r>
    </w:p>
    <w:p w14:paraId="619270CB">
      <w:pPr>
        <w:pStyle w:val="175"/>
        <w:numPr>
          <w:ilvl w:val="0"/>
          <w:numId w:val="60"/>
        </w:numPr>
      </w:pPr>
      <w:r>
        <w:rPr>
          <w:rFonts w:hint="eastAsia"/>
        </w:rPr>
        <w:t>原油组分、天然气气质分析等检测报告；</w:t>
      </w:r>
    </w:p>
    <w:p w14:paraId="50905D4E">
      <w:pPr>
        <w:pStyle w:val="175"/>
        <w:numPr>
          <w:ilvl w:val="0"/>
          <w:numId w:val="60"/>
        </w:numPr>
      </w:pPr>
      <w:r>
        <w:rPr>
          <w:rFonts w:hint="eastAsia"/>
        </w:rPr>
        <w:t>安全生产费用提取及使用证明；</w:t>
      </w:r>
    </w:p>
    <w:p w14:paraId="31982791">
      <w:pPr>
        <w:pStyle w:val="175"/>
        <w:numPr>
          <w:ilvl w:val="0"/>
          <w:numId w:val="60"/>
        </w:numPr>
      </w:pPr>
      <w:r>
        <w:rPr>
          <w:rFonts w:hint="eastAsia"/>
        </w:rPr>
        <w:t>工伤保险、安全生产责任保险缴纳证明；</w:t>
      </w:r>
    </w:p>
    <w:p w14:paraId="34186AAD">
      <w:pPr>
        <w:pStyle w:val="175"/>
        <w:numPr>
          <w:ilvl w:val="0"/>
          <w:numId w:val="60"/>
        </w:numPr>
      </w:pPr>
      <w:r>
        <w:rPr>
          <w:rFonts w:hint="eastAsia"/>
        </w:rPr>
        <w:t>应急预案备案登记表、应急培训及应急演练记录；</w:t>
      </w:r>
    </w:p>
    <w:p w14:paraId="13BBD7F9">
      <w:pPr>
        <w:pStyle w:val="175"/>
        <w:numPr>
          <w:ilvl w:val="0"/>
          <w:numId w:val="60"/>
        </w:numPr>
      </w:pPr>
      <w:r>
        <w:rPr>
          <w:rFonts w:hint="eastAsia"/>
        </w:rPr>
        <w:t>应急救援协议；</w:t>
      </w:r>
    </w:p>
    <w:p w14:paraId="6AF29CC1">
      <w:pPr>
        <w:pStyle w:val="175"/>
        <w:numPr>
          <w:ilvl w:val="0"/>
          <w:numId w:val="60"/>
        </w:numPr>
      </w:pPr>
      <w:r>
        <w:rPr>
          <w:rFonts w:hint="eastAsia"/>
        </w:rPr>
        <w:t>陆上采油（气）企业还应包括采矿许可证，油建企业还应包括施工单位资质，从事辐射作业和爆破作业的还应包括辐射安全许可证和爆破作业单位许可证；</w:t>
      </w:r>
    </w:p>
    <w:p w14:paraId="2D2960B9">
      <w:pPr>
        <w:pStyle w:val="175"/>
        <w:numPr>
          <w:ilvl w:val="0"/>
          <w:numId w:val="60"/>
        </w:numPr>
      </w:pPr>
      <w:r>
        <w:rPr>
          <w:rFonts w:hint="eastAsia"/>
        </w:rPr>
        <w:t>评价人员工作内容记录表、现场踏勘汇总表、隐患问题整改表、评价过程会商表等工作记录。</w:t>
      </w:r>
    </w:p>
    <w:p w14:paraId="1273C586">
      <w:pPr>
        <w:pStyle w:val="106"/>
        <w:spacing w:before="120" w:after="120"/>
      </w:pPr>
      <w:bookmarkStart w:id="230" w:name="_Toc4229"/>
      <w:r>
        <w:rPr>
          <w:rFonts w:hint="eastAsia"/>
        </w:rPr>
        <w:t>附图</w:t>
      </w:r>
      <w:bookmarkEnd w:id="230"/>
    </w:p>
    <w:p w14:paraId="2968146A">
      <w:pPr>
        <w:ind w:firstLine="420" w:firstLineChars="200"/>
        <w:rPr>
          <w:rFonts w:ascii="宋体" w:hAnsi="宋体"/>
        </w:rPr>
      </w:pPr>
      <w:r>
        <w:rPr>
          <w:rFonts w:hint="eastAsia"/>
        </w:rPr>
        <w:t>报告附图应包括但不限于：</w:t>
      </w:r>
    </w:p>
    <w:p w14:paraId="41DF6E87">
      <w:pPr>
        <w:pStyle w:val="175"/>
        <w:numPr>
          <w:ilvl w:val="0"/>
          <w:numId w:val="61"/>
        </w:numPr>
      </w:pPr>
      <w:r>
        <w:rPr>
          <w:rFonts w:hint="eastAsia"/>
        </w:rPr>
        <w:t>区域位置图；</w:t>
      </w:r>
    </w:p>
    <w:p w14:paraId="5C85F809">
      <w:pPr>
        <w:pStyle w:val="175"/>
        <w:numPr>
          <w:ilvl w:val="0"/>
          <w:numId w:val="61"/>
        </w:numPr>
      </w:pPr>
      <w:r>
        <w:rPr>
          <w:rFonts w:hint="eastAsia"/>
        </w:rPr>
        <w:t>平面布置图；</w:t>
      </w:r>
    </w:p>
    <w:p w14:paraId="6683A2B2">
      <w:pPr>
        <w:pStyle w:val="175"/>
        <w:numPr>
          <w:ilvl w:val="0"/>
          <w:numId w:val="61"/>
        </w:numPr>
      </w:pPr>
      <w:r>
        <w:rPr>
          <w:rFonts w:hint="eastAsia"/>
        </w:rPr>
        <w:t>工艺流程图；</w:t>
      </w:r>
    </w:p>
    <w:p w14:paraId="05225A6B">
      <w:pPr>
        <w:pStyle w:val="175"/>
        <w:numPr>
          <w:ilvl w:val="0"/>
          <w:numId w:val="61"/>
        </w:numPr>
      </w:pPr>
      <w:r>
        <w:rPr>
          <w:rFonts w:hint="eastAsia"/>
        </w:rPr>
        <w:t>爆炸危险区域划分图。</w:t>
      </w:r>
    </w:p>
    <w:p w14:paraId="7829E56F">
      <w:pPr>
        <w:pStyle w:val="105"/>
        <w:spacing w:before="240" w:after="240"/>
      </w:pPr>
      <w:bookmarkStart w:id="231" w:name="_Toc18246"/>
      <w:r>
        <w:rPr>
          <w:rFonts w:hint="eastAsia"/>
        </w:rPr>
        <w:t>安全现状评价报告格式要求</w:t>
      </w:r>
      <w:bookmarkEnd w:id="225"/>
      <w:bookmarkEnd w:id="226"/>
      <w:bookmarkEnd w:id="227"/>
      <w:bookmarkEnd w:id="228"/>
      <w:bookmarkEnd w:id="231"/>
    </w:p>
    <w:bookmarkEnd w:id="28"/>
    <w:p w14:paraId="68FB51BA">
      <w:pPr>
        <w:pStyle w:val="199"/>
      </w:pPr>
      <w:bookmarkStart w:id="232" w:name="BookMark5"/>
    </w:p>
    <w:p w14:paraId="306D1846">
      <w:pPr>
        <w:pStyle w:val="200"/>
      </w:pPr>
    </w:p>
    <w:p w14:paraId="35DB3627">
      <w:pPr>
        <w:pStyle w:val="57"/>
        <w:ind w:firstLine="420"/>
      </w:pPr>
      <w:r>
        <w:rPr>
          <w:rFonts w:hint="eastAsia"/>
        </w:rPr>
        <w:t>安全现状评价报告格式应符合附录C的规定。</w:t>
      </w:r>
      <w:r>
        <w:br w:type="page"/>
      </w:r>
    </w:p>
    <w:p w14:paraId="3191612E">
      <w:pPr>
        <w:pStyle w:val="57"/>
        <w:ind w:firstLine="420"/>
        <w:sectPr>
          <w:footerReference r:id="rId15" w:type="default"/>
          <w:pgSz w:w="11906" w:h="16838"/>
          <w:pgMar w:top="1928" w:right="1134" w:bottom="1134" w:left="1134" w:header="1418" w:footer="1134" w:gutter="284"/>
          <w:pgNumType w:start="1"/>
          <w:cols w:space="425" w:num="1"/>
          <w:formProt w:val="0"/>
          <w:docGrid w:linePitch="312" w:charSpace="0"/>
        </w:sectPr>
      </w:pPr>
    </w:p>
    <w:p w14:paraId="52F0F806">
      <w:pPr>
        <w:pStyle w:val="199"/>
      </w:pPr>
    </w:p>
    <w:p w14:paraId="6B541C22">
      <w:pPr>
        <w:pStyle w:val="200"/>
      </w:pPr>
    </w:p>
    <w:p w14:paraId="0CEA8104">
      <w:pPr>
        <w:pStyle w:val="77"/>
        <w:spacing w:after="120"/>
        <w:rPr>
          <w:rFonts w:ascii="Times New Roman"/>
        </w:rPr>
      </w:pPr>
      <w:bookmarkStart w:id="233" w:name="_Toc10576"/>
      <w:bookmarkStart w:id="234" w:name="_Toc19295"/>
      <w:bookmarkStart w:id="235" w:name="_Toc10739"/>
      <w:bookmarkStart w:id="236" w:name="_Toc27024"/>
      <w:bookmarkStart w:id="237" w:name="_Toc16940"/>
      <w:r>
        <w:br w:type="textWrapping"/>
      </w:r>
      <w:r>
        <w:rPr>
          <w:rFonts w:hint="eastAsia"/>
        </w:rPr>
        <w:t>（资料性）</w:t>
      </w:r>
      <w:r>
        <w:rPr>
          <w:rFonts w:hint="eastAsia"/>
        </w:rPr>
        <w:br w:type="textWrapping"/>
      </w:r>
      <w:r>
        <w:rPr>
          <w:rFonts w:hint="eastAsia" w:ascii="Times New Roman"/>
        </w:rPr>
        <w:t>陆上石油天然气企业安全现状评价记录清单</w:t>
      </w:r>
      <w:bookmarkEnd w:id="233"/>
    </w:p>
    <w:p w14:paraId="39E2DD4D">
      <w:pPr>
        <w:rPr>
          <w:color w:val="000000"/>
        </w:rPr>
      </w:pPr>
      <w:r>
        <w:rPr>
          <w:rFonts w:ascii="黑体" w:hAnsi="黑体" w:eastAsia="黑体"/>
        </w:rPr>
        <w:t>A.</w:t>
      </w:r>
      <w:r>
        <w:rPr>
          <w:rFonts w:hint="eastAsia" w:ascii="黑体" w:hAnsi="黑体" w:eastAsia="黑体"/>
        </w:rPr>
        <w:t>1</w:t>
      </w:r>
      <w:r>
        <w:rPr>
          <w:rFonts w:ascii="黑体" w:hAnsi="黑体" w:eastAsia="黑体"/>
        </w:rPr>
        <w:t>　</w:t>
      </w:r>
      <w:r>
        <w:rPr>
          <w:rFonts w:hint="eastAsia" w:ascii="黑体" w:hAnsi="黑体" w:eastAsia="黑体"/>
        </w:rPr>
        <w:t>工作内容</w:t>
      </w:r>
      <w:r>
        <w:rPr>
          <w:rFonts w:ascii="黑体" w:hAnsi="黑体" w:eastAsia="黑体"/>
        </w:rPr>
        <w:t>记录</w:t>
      </w:r>
      <w:r>
        <w:rPr>
          <w:rFonts w:hint="eastAsia" w:ascii="黑体" w:hAnsi="黑体" w:eastAsia="黑体"/>
        </w:rPr>
        <w:t>表</w:t>
      </w:r>
    </w:p>
    <w:p w14:paraId="45DE280D">
      <w:pPr>
        <w:rPr>
          <w:rFonts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69D3F3A2">
      <w:pPr>
        <w:spacing w:line="240" w:lineRule="auto"/>
        <w:ind w:firstLine="420" w:firstLineChars="200"/>
        <w:rPr>
          <w:rFonts w:ascii="宋体" w:hAnsi="宋体"/>
          <w:color w:val="000000"/>
        </w:rPr>
      </w:pPr>
      <w:r>
        <w:rPr>
          <w:rFonts w:hint="eastAsia" w:ascii="宋体" w:hAnsi="宋体"/>
          <w:color w:val="000000"/>
        </w:rPr>
        <w:t>A.1.1.1 安全评价项目组按照一人一表管理，填写内容包括项目组成员参加的全部工作内容。</w:t>
      </w:r>
    </w:p>
    <w:p w14:paraId="28B86645">
      <w:pPr>
        <w:spacing w:line="240" w:lineRule="auto"/>
        <w:ind w:firstLine="420" w:firstLineChars="200"/>
        <w:rPr>
          <w:rFonts w:ascii="宋体" w:hAnsi="宋体"/>
          <w:color w:val="000000"/>
        </w:rPr>
      </w:pPr>
      <w:r>
        <w:rPr>
          <w:rFonts w:hint="eastAsia" w:ascii="宋体" w:hAnsi="宋体"/>
          <w:color w:val="000000"/>
        </w:rPr>
        <w:t>A.1.1.2 按时间段从前往后填写，一个时间段从事一项工作内容的列为一条，时间段最长不超过一天。同一时间段从事不同工作内容的，按工作内容划分多条，该时间段内多项工作内容反复交叉的可合并为一条，并在具体工作事项中说明。</w:t>
      </w:r>
    </w:p>
    <w:p w14:paraId="615447CC">
      <w:pPr>
        <w:spacing w:line="240" w:lineRule="auto"/>
        <w:ind w:firstLine="420" w:firstLineChars="200"/>
        <w:rPr>
          <w:rFonts w:ascii="宋体" w:hAnsi="宋体"/>
          <w:color w:val="000000"/>
        </w:rPr>
      </w:pPr>
      <w:r>
        <w:rPr>
          <w:rFonts w:hint="eastAsia" w:ascii="宋体" w:hAnsi="宋体"/>
          <w:color w:val="000000"/>
        </w:rPr>
        <w:t>A.1.1.3 工作内容选填：前期准备、现场踏勘、资料收集整理、谈话交流、报告编制、报告评审。</w:t>
      </w:r>
    </w:p>
    <w:p w14:paraId="41B97A9A">
      <w:pPr>
        <w:spacing w:line="240" w:lineRule="auto"/>
        <w:ind w:firstLine="420" w:firstLineChars="200"/>
        <w:rPr>
          <w:rFonts w:ascii="宋体" w:hAnsi="宋体"/>
          <w:color w:val="000000"/>
        </w:rPr>
      </w:pPr>
      <w:r>
        <w:rPr>
          <w:rFonts w:hint="eastAsia" w:ascii="宋体" w:hAnsi="宋体"/>
          <w:color w:val="000000"/>
        </w:rPr>
        <w:t>A.1.1.4 具体工作地点，室内说明楼栋、楼层、房间号等，室外说明某石油生产设施、石油作业设施、施工作业现场等的某具体位置，无视频监控时须留存照片或视频待查。</w:t>
      </w:r>
    </w:p>
    <w:p w14:paraId="56838A62">
      <w:pPr>
        <w:spacing w:line="240" w:lineRule="auto"/>
        <w:ind w:firstLine="420" w:firstLineChars="200"/>
        <w:rPr>
          <w:rFonts w:ascii="宋体" w:hAnsi="宋体"/>
          <w:color w:val="000000"/>
        </w:rPr>
      </w:pPr>
      <w:r>
        <w:rPr>
          <w:rFonts w:hint="eastAsia" w:ascii="宋体" w:hAnsi="宋体"/>
          <w:color w:val="000000"/>
        </w:rPr>
        <w:t>A.1.1.5 具体工作事项，写明个人从事的具体工作，如整理哪些方面资料、与哪些人交流会商、检查哪些设备、查看哪些作业活动等。</w:t>
      </w:r>
    </w:p>
    <w:p w14:paraId="3F57337E">
      <w:pPr>
        <w:spacing w:line="240" w:lineRule="auto"/>
        <w:ind w:firstLine="420" w:firstLineChars="200"/>
        <w:rPr>
          <w:rFonts w:ascii="宋体" w:hAnsi="宋体"/>
          <w:color w:val="000000"/>
        </w:rPr>
      </w:pPr>
      <w:r>
        <w:rPr>
          <w:rFonts w:hint="eastAsia" w:ascii="宋体" w:hAnsi="宋体"/>
          <w:color w:val="000000"/>
        </w:rPr>
        <w:t>A.1.1.6 开始时间、结束时间采用24小时制，工时单位为小时，按四舍五入保留一位小数。</w:t>
      </w:r>
    </w:p>
    <w:p w14:paraId="746AD009">
      <w:pPr>
        <w:spacing w:line="240" w:lineRule="auto"/>
        <w:ind w:firstLine="420" w:firstLineChars="200"/>
        <w:rPr>
          <w:rFonts w:ascii="宋体" w:hAnsi="宋体"/>
          <w:color w:val="000000"/>
        </w:rPr>
      </w:pPr>
      <w:r>
        <w:rPr>
          <w:rFonts w:hint="eastAsia" w:ascii="宋体" w:hAnsi="宋体"/>
          <w:color w:val="000000"/>
        </w:rPr>
        <w:t>A.1.1.7 累计工时为该人员在该评价项目中的全部工作时间。</w:t>
      </w:r>
    </w:p>
    <w:p w14:paraId="64F98819">
      <w:pPr>
        <w:rPr>
          <w:rFonts w:ascii="黑体" w:hAnsi="黑体" w:eastAsia="黑体"/>
        </w:rPr>
      </w:pPr>
      <w:r>
        <w:rPr>
          <w:rFonts w:ascii="黑体" w:hAnsi="黑体" w:eastAsia="黑体"/>
        </w:rPr>
        <w:t>A.</w:t>
      </w:r>
      <w:r>
        <w:rPr>
          <w:rFonts w:hint="eastAsia" w:ascii="黑体" w:hAnsi="黑体" w:eastAsia="黑体"/>
        </w:rPr>
        <w:t>1</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34111547">
      <w:pPr>
        <w:ind w:firstLine="420" w:firstLineChars="200"/>
        <w:rPr>
          <w:rFonts w:ascii="宋体" w:hAnsi="宋体" w:cs="宋体"/>
          <w:color w:val="000000"/>
        </w:rPr>
      </w:pPr>
      <w:r>
        <w:rPr>
          <w:rFonts w:hint="eastAsia" w:ascii="宋体" w:hAnsi="宋体" w:cs="宋体"/>
          <w:color w:val="000000"/>
        </w:rPr>
        <w:t>按照表A.1的格式编制工作内容记录表。</w:t>
      </w:r>
    </w:p>
    <w:p w14:paraId="495F3709">
      <w:pPr>
        <w:jc w:val="center"/>
        <w:rPr>
          <w:rFonts w:ascii="黑体" w:hAnsi="黑体" w:eastAsia="黑体"/>
        </w:rPr>
      </w:pPr>
      <w:r>
        <w:rPr>
          <w:rFonts w:ascii="黑体" w:hAnsi="黑体" w:eastAsia="黑体"/>
        </w:rPr>
        <w:t>表</w:t>
      </w:r>
      <w:r>
        <w:rPr>
          <w:rFonts w:hint="eastAsia" w:ascii="黑体" w:hAnsi="黑体" w:eastAsia="黑体"/>
        </w:rPr>
        <w:t>A.1</w:t>
      </w:r>
      <w:r>
        <w:rPr>
          <w:rFonts w:ascii="黑体" w:hAnsi="黑体" w:eastAsia="黑体"/>
        </w:rPr>
        <w:t xml:space="preserve">  </w:t>
      </w:r>
      <w:r>
        <w:rPr>
          <w:rFonts w:hint="eastAsia" w:ascii="黑体" w:hAnsi="黑体" w:eastAsia="黑体"/>
        </w:rPr>
        <w:t>工作内容记录表</w:t>
      </w:r>
    </w:p>
    <w:tbl>
      <w:tblPr>
        <w:tblStyle w:val="27"/>
        <w:tblW w:w="47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975"/>
        <w:gridCol w:w="737"/>
        <w:gridCol w:w="1167"/>
        <w:gridCol w:w="1567"/>
        <w:gridCol w:w="1613"/>
        <w:gridCol w:w="1016"/>
        <w:gridCol w:w="1027"/>
        <w:gridCol w:w="860"/>
      </w:tblGrid>
      <w:tr w14:paraId="2E80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955" w:type="pct"/>
            <w:gridSpan w:val="2"/>
            <w:shd w:val="clear" w:color="auto" w:fill="FFFFFF"/>
            <w:tcMar>
              <w:top w:w="100" w:type="dxa"/>
              <w:left w:w="0" w:type="dxa"/>
              <w:bottom w:w="100" w:type="dxa"/>
              <w:right w:w="160" w:type="dxa"/>
            </w:tcMar>
            <w:vAlign w:val="center"/>
          </w:tcPr>
          <w:p w14:paraId="745F72AB">
            <w:pPr>
              <w:widowControl/>
              <w:spacing w:line="240" w:lineRule="auto"/>
              <w:jc w:val="center"/>
              <w:rPr>
                <w:rFonts w:ascii="Times New Roman" w:hAnsi="Times New Roman"/>
                <w:b/>
                <w:bCs/>
                <w:color w:val="0F1115"/>
                <w:kern w:val="0"/>
                <w:lang w:bidi="ar"/>
              </w:rPr>
            </w:pPr>
            <w:r>
              <w:rPr>
                <w:rFonts w:ascii="Times New Roman" w:hAnsi="Times New Roman" w:cs="宋体"/>
              </w:rPr>
              <w:t>姓 名</w:t>
            </w:r>
          </w:p>
        </w:tc>
        <w:tc>
          <w:tcPr>
            <w:tcW w:w="1525" w:type="pct"/>
            <w:gridSpan w:val="2"/>
            <w:shd w:val="clear" w:color="auto" w:fill="FFFFFF"/>
            <w:tcMar>
              <w:top w:w="100" w:type="dxa"/>
              <w:left w:w="160" w:type="dxa"/>
              <w:bottom w:w="100" w:type="dxa"/>
              <w:right w:w="160" w:type="dxa"/>
            </w:tcMar>
            <w:vAlign w:val="center"/>
          </w:tcPr>
          <w:p w14:paraId="49FFBA6A">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4F1400D3">
            <w:pPr>
              <w:widowControl/>
              <w:spacing w:line="240" w:lineRule="auto"/>
              <w:jc w:val="center"/>
              <w:rPr>
                <w:rFonts w:ascii="Times New Roman" w:hAnsi="Times New Roman"/>
                <w:b/>
                <w:bCs/>
                <w:color w:val="0F1115"/>
                <w:kern w:val="0"/>
                <w:lang w:bidi="ar"/>
              </w:rPr>
            </w:pPr>
            <w:r>
              <w:rPr>
                <w:rFonts w:ascii="Times New Roman" w:hAnsi="Times New Roman" w:cs="宋体"/>
              </w:rPr>
              <w:t>项目名称</w:t>
            </w:r>
          </w:p>
        </w:tc>
        <w:tc>
          <w:tcPr>
            <w:tcW w:w="1618" w:type="pct"/>
            <w:gridSpan w:val="3"/>
            <w:shd w:val="clear" w:color="auto" w:fill="FFFFFF"/>
            <w:vAlign w:val="center"/>
          </w:tcPr>
          <w:p w14:paraId="75E0446A">
            <w:pPr>
              <w:widowControl/>
              <w:spacing w:line="240" w:lineRule="auto"/>
              <w:jc w:val="center"/>
              <w:rPr>
                <w:rFonts w:ascii="Times New Roman" w:hAnsi="Times New Roman"/>
                <w:b/>
                <w:bCs/>
                <w:color w:val="0F1115"/>
                <w:kern w:val="0"/>
                <w:lang w:bidi="ar"/>
              </w:rPr>
            </w:pPr>
          </w:p>
        </w:tc>
      </w:tr>
      <w:tr w14:paraId="14732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955" w:type="pct"/>
            <w:gridSpan w:val="2"/>
            <w:shd w:val="clear" w:color="auto" w:fill="FFFFFF"/>
            <w:tcMar>
              <w:top w:w="100" w:type="dxa"/>
              <w:left w:w="0" w:type="dxa"/>
              <w:bottom w:w="100" w:type="dxa"/>
              <w:right w:w="160" w:type="dxa"/>
            </w:tcMar>
            <w:vAlign w:val="center"/>
          </w:tcPr>
          <w:p w14:paraId="53D6D1E0">
            <w:pPr>
              <w:widowControl/>
              <w:spacing w:line="240" w:lineRule="auto"/>
              <w:jc w:val="center"/>
              <w:rPr>
                <w:rFonts w:ascii="Times New Roman" w:hAnsi="Times New Roman"/>
                <w:b/>
                <w:bCs/>
                <w:color w:val="0F1115"/>
                <w:kern w:val="0"/>
                <w:lang w:bidi="ar"/>
              </w:rPr>
            </w:pPr>
            <w:r>
              <w:rPr>
                <w:rFonts w:ascii="Times New Roman" w:hAnsi="Times New Roman" w:cs="宋体"/>
              </w:rPr>
              <w:t>专业</w:t>
            </w:r>
            <w:r>
              <w:rPr>
                <w:rFonts w:hint="eastAsia" w:ascii="Times New Roman" w:hAnsi="Times New Roman" w:cs="宋体"/>
              </w:rPr>
              <w:t>能力</w:t>
            </w:r>
          </w:p>
        </w:tc>
        <w:tc>
          <w:tcPr>
            <w:tcW w:w="1525" w:type="pct"/>
            <w:gridSpan w:val="2"/>
            <w:shd w:val="clear" w:color="auto" w:fill="FFFFFF"/>
            <w:tcMar>
              <w:top w:w="100" w:type="dxa"/>
              <w:left w:w="160" w:type="dxa"/>
              <w:bottom w:w="100" w:type="dxa"/>
              <w:right w:w="160" w:type="dxa"/>
            </w:tcMar>
            <w:vAlign w:val="center"/>
          </w:tcPr>
          <w:p w14:paraId="2F9FD8A3">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441295AD">
            <w:pPr>
              <w:widowControl/>
              <w:spacing w:line="240" w:lineRule="auto"/>
              <w:jc w:val="center"/>
              <w:rPr>
                <w:rFonts w:ascii="Times New Roman" w:hAnsi="Times New Roman"/>
                <w:b/>
                <w:bCs/>
                <w:color w:val="0F1115"/>
                <w:kern w:val="0"/>
                <w:lang w:bidi="ar"/>
              </w:rPr>
            </w:pPr>
            <w:r>
              <w:rPr>
                <w:rFonts w:ascii="Times New Roman" w:hAnsi="Times New Roman" w:cs="宋体"/>
              </w:rPr>
              <w:t>项目角色</w:t>
            </w:r>
          </w:p>
        </w:tc>
        <w:tc>
          <w:tcPr>
            <w:tcW w:w="1618" w:type="pct"/>
            <w:gridSpan w:val="3"/>
            <w:shd w:val="clear" w:color="auto" w:fill="FFFFFF"/>
            <w:vAlign w:val="center"/>
          </w:tcPr>
          <w:p w14:paraId="00DDC4CB">
            <w:pPr>
              <w:widowControl/>
              <w:spacing w:line="240" w:lineRule="auto"/>
              <w:jc w:val="center"/>
              <w:rPr>
                <w:rFonts w:ascii="Times New Roman" w:hAnsi="Times New Roman"/>
                <w:b/>
                <w:bCs/>
                <w:color w:val="0F1115"/>
                <w:kern w:val="0"/>
                <w:lang w:bidi="ar"/>
              </w:rPr>
            </w:pPr>
          </w:p>
        </w:tc>
      </w:tr>
      <w:tr w14:paraId="1942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603" w:hRule="exact"/>
          <w:jc w:val="center"/>
        </w:trPr>
        <w:tc>
          <w:tcPr>
            <w:tcW w:w="544" w:type="pct"/>
            <w:shd w:val="clear" w:color="auto" w:fill="FFFFFF"/>
            <w:tcMar>
              <w:top w:w="100" w:type="dxa"/>
              <w:left w:w="0" w:type="dxa"/>
              <w:bottom w:w="100" w:type="dxa"/>
              <w:right w:w="160" w:type="dxa"/>
            </w:tcMar>
            <w:vAlign w:val="center"/>
          </w:tcPr>
          <w:p w14:paraId="36FAF403">
            <w:pPr>
              <w:widowControl/>
              <w:spacing w:line="240" w:lineRule="auto"/>
              <w:jc w:val="center"/>
              <w:rPr>
                <w:rFonts w:ascii="Times New Roman" w:hAnsi="Times New Roman"/>
                <w:b/>
                <w:bCs/>
                <w:color w:val="0F1115"/>
              </w:rPr>
            </w:pPr>
            <w:r>
              <w:rPr>
                <w:rFonts w:ascii="Times New Roman" w:hAnsi="Times New Roman"/>
                <w:b/>
                <w:bCs/>
                <w:color w:val="0F1115"/>
                <w:kern w:val="0"/>
                <w:lang w:bidi="ar"/>
              </w:rPr>
              <w:t>序号</w:t>
            </w:r>
          </w:p>
        </w:tc>
        <w:tc>
          <w:tcPr>
            <w:tcW w:w="411" w:type="pct"/>
            <w:shd w:val="clear" w:color="auto" w:fill="FFFFFF"/>
            <w:tcMar>
              <w:top w:w="100" w:type="dxa"/>
              <w:left w:w="160" w:type="dxa"/>
              <w:bottom w:w="100" w:type="dxa"/>
              <w:right w:w="160" w:type="dxa"/>
            </w:tcMar>
            <w:vAlign w:val="center"/>
          </w:tcPr>
          <w:p w14:paraId="44B69818">
            <w:pPr>
              <w:widowControl/>
              <w:spacing w:line="240" w:lineRule="auto"/>
              <w:jc w:val="center"/>
              <w:rPr>
                <w:rFonts w:ascii="Times New Roman" w:hAnsi="Times New Roman"/>
                <w:b/>
                <w:bCs/>
                <w:color w:val="0F1115"/>
              </w:rPr>
            </w:pPr>
            <w:r>
              <w:rPr>
                <w:rFonts w:ascii="Times New Roman" w:hAnsi="Times New Roman"/>
                <w:b/>
                <w:bCs/>
                <w:color w:val="0F1115"/>
                <w:kern w:val="0"/>
                <w:lang w:bidi="ar"/>
              </w:rPr>
              <w:t>日期</w:t>
            </w:r>
          </w:p>
        </w:tc>
        <w:tc>
          <w:tcPr>
            <w:tcW w:w="651" w:type="pct"/>
            <w:shd w:val="clear" w:color="auto" w:fill="FFFFFF"/>
            <w:tcMar>
              <w:top w:w="100" w:type="dxa"/>
              <w:left w:w="160" w:type="dxa"/>
              <w:bottom w:w="100" w:type="dxa"/>
              <w:right w:w="160" w:type="dxa"/>
            </w:tcMar>
            <w:vAlign w:val="center"/>
          </w:tcPr>
          <w:p w14:paraId="0C029492">
            <w:pPr>
              <w:widowControl/>
              <w:spacing w:line="240" w:lineRule="auto"/>
              <w:jc w:val="center"/>
              <w:rPr>
                <w:rFonts w:ascii="Times New Roman" w:hAnsi="Times New Roman"/>
                <w:b/>
                <w:bCs/>
                <w:color w:val="0F1115"/>
              </w:rPr>
            </w:pPr>
            <w:r>
              <w:rPr>
                <w:rFonts w:ascii="Times New Roman" w:hAnsi="Times New Roman"/>
                <w:b/>
                <w:bCs/>
                <w:color w:val="0F1115"/>
                <w:kern w:val="0"/>
                <w:lang w:bidi="ar"/>
              </w:rPr>
              <w:t>工作内容</w:t>
            </w:r>
          </w:p>
        </w:tc>
        <w:tc>
          <w:tcPr>
            <w:tcW w:w="873" w:type="pct"/>
            <w:shd w:val="clear" w:color="auto" w:fill="FFFFFF"/>
            <w:tcMar>
              <w:top w:w="100" w:type="dxa"/>
              <w:left w:w="160" w:type="dxa"/>
              <w:bottom w:w="100" w:type="dxa"/>
              <w:right w:w="160" w:type="dxa"/>
            </w:tcMar>
            <w:vAlign w:val="center"/>
          </w:tcPr>
          <w:p w14:paraId="7E683C33">
            <w:pPr>
              <w:widowControl/>
              <w:spacing w:line="240" w:lineRule="auto"/>
              <w:jc w:val="center"/>
              <w:rPr>
                <w:rFonts w:ascii="Times New Roman" w:hAnsi="Times New Roman"/>
                <w:b/>
                <w:bCs/>
                <w:color w:val="0F1115"/>
              </w:rPr>
            </w:pPr>
            <w:r>
              <w:rPr>
                <w:rFonts w:ascii="Times New Roman" w:hAnsi="Times New Roman"/>
                <w:b/>
                <w:bCs/>
                <w:color w:val="0F1115"/>
                <w:kern w:val="0"/>
                <w:lang w:bidi="ar"/>
              </w:rPr>
              <w:t>具体工作地点</w:t>
            </w:r>
          </w:p>
        </w:tc>
        <w:tc>
          <w:tcPr>
            <w:tcW w:w="900" w:type="pct"/>
            <w:shd w:val="clear" w:color="auto" w:fill="FFFFFF"/>
            <w:tcMar>
              <w:top w:w="100" w:type="dxa"/>
              <w:left w:w="160" w:type="dxa"/>
              <w:bottom w:w="100" w:type="dxa"/>
              <w:right w:w="160" w:type="dxa"/>
            </w:tcMar>
            <w:vAlign w:val="center"/>
          </w:tcPr>
          <w:p w14:paraId="6106480D">
            <w:pPr>
              <w:widowControl/>
              <w:spacing w:line="240" w:lineRule="auto"/>
              <w:jc w:val="center"/>
              <w:rPr>
                <w:rFonts w:ascii="Times New Roman" w:hAnsi="Times New Roman"/>
                <w:b/>
                <w:bCs/>
                <w:color w:val="0F1115"/>
              </w:rPr>
            </w:pPr>
            <w:r>
              <w:rPr>
                <w:rFonts w:ascii="Times New Roman" w:hAnsi="Times New Roman"/>
                <w:b/>
                <w:bCs/>
                <w:color w:val="0F1115"/>
                <w:kern w:val="0"/>
                <w:lang w:bidi="ar"/>
              </w:rPr>
              <w:t>具体工作事项</w:t>
            </w:r>
          </w:p>
        </w:tc>
        <w:tc>
          <w:tcPr>
            <w:tcW w:w="567" w:type="pct"/>
            <w:shd w:val="clear" w:color="auto" w:fill="FFFFFF"/>
            <w:tcMar>
              <w:top w:w="100" w:type="dxa"/>
              <w:left w:w="160" w:type="dxa"/>
              <w:bottom w:w="100" w:type="dxa"/>
              <w:right w:w="160" w:type="dxa"/>
            </w:tcMar>
            <w:vAlign w:val="center"/>
          </w:tcPr>
          <w:p w14:paraId="7145B2C2">
            <w:pPr>
              <w:widowControl/>
              <w:spacing w:line="240" w:lineRule="auto"/>
              <w:jc w:val="center"/>
              <w:rPr>
                <w:rFonts w:ascii="Times New Roman" w:hAnsi="Times New Roman"/>
                <w:b/>
                <w:bCs/>
                <w:color w:val="0F1115"/>
                <w:kern w:val="0"/>
                <w:lang w:bidi="ar"/>
              </w:rPr>
            </w:pPr>
            <w:r>
              <w:rPr>
                <w:rFonts w:ascii="Times New Roman" w:hAnsi="Times New Roman"/>
                <w:b/>
                <w:bCs/>
                <w:color w:val="0F1115"/>
                <w:kern w:val="0"/>
                <w:lang w:bidi="ar"/>
              </w:rPr>
              <w:t>开始</w:t>
            </w:r>
          </w:p>
          <w:p w14:paraId="6196439D">
            <w:pPr>
              <w:widowControl/>
              <w:spacing w:line="240" w:lineRule="auto"/>
              <w:jc w:val="center"/>
              <w:rPr>
                <w:rFonts w:ascii="Times New Roman" w:hAnsi="Times New Roman"/>
                <w:b/>
                <w:bCs/>
                <w:color w:val="0F1115"/>
              </w:rPr>
            </w:pPr>
            <w:r>
              <w:rPr>
                <w:rFonts w:ascii="Times New Roman" w:hAnsi="Times New Roman"/>
                <w:b/>
                <w:bCs/>
                <w:color w:val="0F1115"/>
                <w:kern w:val="0"/>
                <w:lang w:bidi="ar"/>
              </w:rPr>
              <w:t>时间</w:t>
            </w:r>
          </w:p>
        </w:tc>
        <w:tc>
          <w:tcPr>
            <w:tcW w:w="570" w:type="pct"/>
            <w:shd w:val="clear" w:color="auto" w:fill="FFFFFF"/>
            <w:tcMar>
              <w:top w:w="100" w:type="dxa"/>
              <w:left w:w="160" w:type="dxa"/>
              <w:bottom w:w="100" w:type="dxa"/>
              <w:right w:w="160" w:type="dxa"/>
            </w:tcMar>
            <w:vAlign w:val="center"/>
          </w:tcPr>
          <w:p w14:paraId="08782CBE">
            <w:pPr>
              <w:widowControl/>
              <w:spacing w:line="240" w:lineRule="auto"/>
              <w:jc w:val="center"/>
              <w:rPr>
                <w:rFonts w:ascii="Times New Roman" w:hAnsi="Times New Roman"/>
                <w:b/>
                <w:bCs/>
                <w:color w:val="0F1115"/>
                <w:kern w:val="0"/>
                <w:lang w:bidi="ar"/>
              </w:rPr>
            </w:pPr>
            <w:r>
              <w:rPr>
                <w:rFonts w:ascii="Times New Roman" w:hAnsi="Times New Roman"/>
                <w:b/>
                <w:bCs/>
                <w:color w:val="0F1115"/>
                <w:kern w:val="0"/>
                <w:lang w:bidi="ar"/>
              </w:rPr>
              <w:t>结束</w:t>
            </w:r>
          </w:p>
          <w:p w14:paraId="59F6A1B3">
            <w:pPr>
              <w:widowControl/>
              <w:spacing w:line="240" w:lineRule="auto"/>
              <w:jc w:val="center"/>
              <w:rPr>
                <w:rFonts w:ascii="Times New Roman" w:hAnsi="Times New Roman"/>
                <w:b/>
                <w:bCs/>
                <w:color w:val="0F1115"/>
              </w:rPr>
            </w:pPr>
            <w:r>
              <w:rPr>
                <w:rFonts w:ascii="Times New Roman" w:hAnsi="Times New Roman"/>
                <w:b/>
                <w:bCs/>
                <w:color w:val="0F1115"/>
                <w:kern w:val="0"/>
                <w:lang w:bidi="ar"/>
              </w:rPr>
              <w:t>时间</w:t>
            </w:r>
          </w:p>
        </w:tc>
        <w:tc>
          <w:tcPr>
            <w:tcW w:w="480" w:type="pct"/>
            <w:shd w:val="clear" w:color="auto" w:fill="FFFFFF"/>
            <w:tcMar>
              <w:top w:w="100" w:type="dxa"/>
              <w:left w:w="160" w:type="dxa"/>
              <w:bottom w:w="100" w:type="dxa"/>
              <w:right w:w="160" w:type="dxa"/>
            </w:tcMar>
            <w:vAlign w:val="center"/>
          </w:tcPr>
          <w:p w14:paraId="6E55BB56">
            <w:pPr>
              <w:widowControl/>
              <w:spacing w:line="240" w:lineRule="auto"/>
              <w:jc w:val="center"/>
              <w:rPr>
                <w:rFonts w:ascii="Times New Roman" w:hAnsi="Times New Roman"/>
                <w:b/>
                <w:bCs/>
                <w:color w:val="0F1115"/>
                <w:kern w:val="0"/>
                <w:lang w:bidi="ar"/>
              </w:rPr>
            </w:pPr>
            <w:r>
              <w:rPr>
                <w:rFonts w:ascii="Times New Roman" w:hAnsi="Times New Roman"/>
                <w:b/>
                <w:bCs/>
                <w:color w:val="0F1115"/>
                <w:kern w:val="0"/>
                <w:lang w:bidi="ar"/>
              </w:rPr>
              <w:t>工时</w:t>
            </w:r>
          </w:p>
        </w:tc>
      </w:tr>
      <w:tr w14:paraId="56A4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572CBC51">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22476EF4">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3696BB82">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63D73CB6">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649CD64D">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39722884">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394AF7B3">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6F9880B7">
            <w:pPr>
              <w:widowControl/>
              <w:spacing w:line="240" w:lineRule="auto"/>
              <w:jc w:val="center"/>
              <w:rPr>
                <w:rFonts w:ascii="Times New Roman" w:hAnsi="Times New Roman"/>
                <w:b/>
                <w:bCs/>
                <w:color w:val="0F1115"/>
                <w:kern w:val="0"/>
                <w:lang w:bidi="ar"/>
              </w:rPr>
            </w:pPr>
          </w:p>
        </w:tc>
      </w:tr>
      <w:tr w14:paraId="5949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5DD83DD3">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692027DC">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1B9263FE">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218371F2">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75144397">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2111970F">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1BB8CC07">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39616BFA">
            <w:pPr>
              <w:widowControl/>
              <w:spacing w:line="240" w:lineRule="auto"/>
              <w:jc w:val="center"/>
              <w:rPr>
                <w:rFonts w:ascii="Times New Roman" w:hAnsi="Times New Roman"/>
                <w:b/>
                <w:bCs/>
                <w:color w:val="0F1115"/>
                <w:kern w:val="0"/>
                <w:lang w:bidi="ar"/>
              </w:rPr>
            </w:pPr>
          </w:p>
        </w:tc>
      </w:tr>
      <w:tr w14:paraId="08CA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76923EE0">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3105C36C">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685EB392">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4B41922F">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3A7BE6C2">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32E82C74">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0CEBAAE4">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579379DC">
            <w:pPr>
              <w:widowControl/>
              <w:spacing w:line="240" w:lineRule="auto"/>
              <w:jc w:val="center"/>
              <w:rPr>
                <w:rFonts w:ascii="Times New Roman" w:hAnsi="Times New Roman"/>
                <w:b/>
                <w:bCs/>
                <w:color w:val="0F1115"/>
                <w:kern w:val="0"/>
                <w:lang w:bidi="ar"/>
              </w:rPr>
            </w:pPr>
          </w:p>
        </w:tc>
      </w:tr>
      <w:tr w14:paraId="61CF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5AC27DB7">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608A6BB9">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1EDFCA57">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06B26F4B">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402DF852">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297D578D">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4B857892">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74E8021E">
            <w:pPr>
              <w:widowControl/>
              <w:spacing w:line="240" w:lineRule="auto"/>
              <w:jc w:val="center"/>
              <w:rPr>
                <w:rFonts w:ascii="Times New Roman" w:hAnsi="Times New Roman"/>
                <w:b/>
                <w:bCs/>
                <w:color w:val="0F1115"/>
                <w:kern w:val="0"/>
                <w:lang w:bidi="ar"/>
              </w:rPr>
            </w:pPr>
          </w:p>
        </w:tc>
      </w:tr>
      <w:tr w14:paraId="0FA4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47B7EFBC">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271C77F4">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6D9F7FB9">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2EFB595B">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27DE98CE">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5F561BB5">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0C79EF9B">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20AA7894">
            <w:pPr>
              <w:widowControl/>
              <w:spacing w:line="240" w:lineRule="auto"/>
              <w:jc w:val="center"/>
              <w:rPr>
                <w:rFonts w:ascii="Times New Roman" w:hAnsi="Times New Roman"/>
                <w:b/>
                <w:bCs/>
                <w:color w:val="0F1115"/>
                <w:kern w:val="0"/>
                <w:lang w:bidi="ar"/>
              </w:rPr>
            </w:pPr>
          </w:p>
        </w:tc>
      </w:tr>
      <w:tr w14:paraId="02E0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544" w:type="pct"/>
            <w:shd w:val="clear" w:color="auto" w:fill="FFFFFF"/>
            <w:tcMar>
              <w:top w:w="100" w:type="dxa"/>
              <w:left w:w="0" w:type="dxa"/>
              <w:bottom w:w="100" w:type="dxa"/>
              <w:right w:w="160" w:type="dxa"/>
            </w:tcMar>
            <w:vAlign w:val="center"/>
          </w:tcPr>
          <w:p w14:paraId="319E52CC">
            <w:pPr>
              <w:widowControl/>
              <w:spacing w:line="240" w:lineRule="auto"/>
              <w:jc w:val="center"/>
              <w:rPr>
                <w:rFonts w:ascii="Times New Roman" w:hAnsi="Times New Roman"/>
                <w:b/>
                <w:bCs/>
                <w:color w:val="0F1115"/>
                <w:kern w:val="0"/>
                <w:lang w:bidi="ar"/>
              </w:rPr>
            </w:pPr>
          </w:p>
        </w:tc>
        <w:tc>
          <w:tcPr>
            <w:tcW w:w="411" w:type="pct"/>
            <w:shd w:val="clear" w:color="auto" w:fill="FFFFFF"/>
            <w:tcMar>
              <w:top w:w="100" w:type="dxa"/>
              <w:left w:w="160" w:type="dxa"/>
              <w:bottom w:w="100" w:type="dxa"/>
              <w:right w:w="160" w:type="dxa"/>
            </w:tcMar>
            <w:vAlign w:val="center"/>
          </w:tcPr>
          <w:p w14:paraId="437E0F4C">
            <w:pPr>
              <w:widowControl/>
              <w:spacing w:line="240" w:lineRule="auto"/>
              <w:jc w:val="center"/>
              <w:rPr>
                <w:rFonts w:ascii="Times New Roman" w:hAnsi="Times New Roman"/>
                <w:b/>
                <w:bCs/>
                <w:color w:val="0F1115"/>
                <w:kern w:val="0"/>
                <w:lang w:bidi="ar"/>
              </w:rPr>
            </w:pPr>
          </w:p>
        </w:tc>
        <w:tc>
          <w:tcPr>
            <w:tcW w:w="651" w:type="pct"/>
            <w:shd w:val="clear" w:color="auto" w:fill="FFFFFF"/>
            <w:tcMar>
              <w:top w:w="100" w:type="dxa"/>
              <w:left w:w="160" w:type="dxa"/>
              <w:bottom w:w="100" w:type="dxa"/>
              <w:right w:w="160" w:type="dxa"/>
            </w:tcMar>
            <w:vAlign w:val="center"/>
          </w:tcPr>
          <w:p w14:paraId="6334238E">
            <w:pPr>
              <w:widowControl/>
              <w:spacing w:line="240" w:lineRule="auto"/>
              <w:jc w:val="center"/>
              <w:rPr>
                <w:rFonts w:ascii="Times New Roman" w:hAnsi="Times New Roman"/>
                <w:b/>
                <w:bCs/>
                <w:color w:val="0F1115"/>
                <w:kern w:val="0"/>
                <w:lang w:bidi="ar"/>
              </w:rPr>
            </w:pPr>
          </w:p>
        </w:tc>
        <w:tc>
          <w:tcPr>
            <w:tcW w:w="873" w:type="pct"/>
            <w:shd w:val="clear" w:color="auto" w:fill="FFFFFF"/>
            <w:tcMar>
              <w:top w:w="100" w:type="dxa"/>
              <w:left w:w="160" w:type="dxa"/>
              <w:bottom w:w="100" w:type="dxa"/>
              <w:right w:w="160" w:type="dxa"/>
            </w:tcMar>
            <w:vAlign w:val="center"/>
          </w:tcPr>
          <w:p w14:paraId="3A9F5CB3">
            <w:pPr>
              <w:widowControl/>
              <w:spacing w:line="240" w:lineRule="auto"/>
              <w:jc w:val="center"/>
              <w:rPr>
                <w:rFonts w:ascii="Times New Roman" w:hAnsi="Times New Roman"/>
                <w:b/>
                <w:bCs/>
                <w:color w:val="0F1115"/>
                <w:kern w:val="0"/>
                <w:lang w:bidi="ar"/>
              </w:rPr>
            </w:pPr>
          </w:p>
        </w:tc>
        <w:tc>
          <w:tcPr>
            <w:tcW w:w="900" w:type="pct"/>
            <w:shd w:val="clear" w:color="auto" w:fill="FFFFFF"/>
            <w:tcMar>
              <w:top w:w="100" w:type="dxa"/>
              <w:left w:w="160" w:type="dxa"/>
              <w:bottom w:w="100" w:type="dxa"/>
              <w:right w:w="160" w:type="dxa"/>
            </w:tcMar>
            <w:vAlign w:val="center"/>
          </w:tcPr>
          <w:p w14:paraId="1A271891">
            <w:pPr>
              <w:widowControl/>
              <w:spacing w:line="240" w:lineRule="auto"/>
              <w:jc w:val="center"/>
              <w:rPr>
                <w:rFonts w:ascii="Times New Roman" w:hAnsi="Times New Roman"/>
                <w:b/>
                <w:bCs/>
                <w:color w:val="0F1115"/>
                <w:kern w:val="0"/>
                <w:lang w:bidi="ar"/>
              </w:rPr>
            </w:pPr>
          </w:p>
        </w:tc>
        <w:tc>
          <w:tcPr>
            <w:tcW w:w="567" w:type="pct"/>
            <w:shd w:val="clear" w:color="auto" w:fill="FFFFFF"/>
            <w:tcMar>
              <w:top w:w="100" w:type="dxa"/>
              <w:left w:w="160" w:type="dxa"/>
              <w:bottom w:w="100" w:type="dxa"/>
              <w:right w:w="160" w:type="dxa"/>
            </w:tcMar>
            <w:vAlign w:val="center"/>
          </w:tcPr>
          <w:p w14:paraId="3B892EB9">
            <w:pPr>
              <w:widowControl/>
              <w:spacing w:line="240" w:lineRule="auto"/>
              <w:jc w:val="center"/>
              <w:rPr>
                <w:rFonts w:ascii="Times New Roman" w:hAnsi="Times New Roman"/>
                <w:b/>
                <w:bCs/>
                <w:color w:val="0F1115"/>
                <w:kern w:val="0"/>
                <w:lang w:bidi="ar"/>
              </w:rPr>
            </w:pPr>
          </w:p>
        </w:tc>
        <w:tc>
          <w:tcPr>
            <w:tcW w:w="570" w:type="pct"/>
            <w:shd w:val="clear" w:color="auto" w:fill="FFFFFF"/>
            <w:tcMar>
              <w:top w:w="100" w:type="dxa"/>
              <w:left w:w="160" w:type="dxa"/>
              <w:bottom w:w="100" w:type="dxa"/>
              <w:right w:w="160" w:type="dxa"/>
            </w:tcMar>
            <w:vAlign w:val="center"/>
          </w:tcPr>
          <w:p w14:paraId="59149F83">
            <w:pPr>
              <w:widowControl/>
              <w:spacing w:line="240" w:lineRule="auto"/>
              <w:jc w:val="center"/>
              <w:rPr>
                <w:rFonts w:ascii="Times New Roman" w:hAnsi="Times New Roman"/>
                <w:b/>
                <w:bCs/>
                <w:color w:val="0F1115"/>
                <w:kern w:val="0"/>
                <w:lang w:bidi="ar"/>
              </w:rPr>
            </w:pPr>
          </w:p>
        </w:tc>
        <w:tc>
          <w:tcPr>
            <w:tcW w:w="480" w:type="pct"/>
            <w:shd w:val="clear" w:color="auto" w:fill="FFFFFF"/>
            <w:tcMar>
              <w:top w:w="100" w:type="dxa"/>
              <w:left w:w="160" w:type="dxa"/>
              <w:bottom w:w="100" w:type="dxa"/>
              <w:right w:w="160" w:type="dxa"/>
            </w:tcMar>
            <w:vAlign w:val="center"/>
          </w:tcPr>
          <w:p w14:paraId="307FB5F6">
            <w:pPr>
              <w:widowControl/>
              <w:spacing w:line="240" w:lineRule="auto"/>
              <w:jc w:val="center"/>
              <w:rPr>
                <w:rFonts w:ascii="Times New Roman" w:hAnsi="Times New Roman"/>
                <w:b/>
                <w:bCs/>
                <w:color w:val="0F1115"/>
                <w:kern w:val="0"/>
                <w:lang w:bidi="ar"/>
              </w:rPr>
            </w:pPr>
          </w:p>
        </w:tc>
      </w:tr>
      <w:tr w14:paraId="231FA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340" w:hRule="exact"/>
          <w:jc w:val="center"/>
        </w:trPr>
        <w:tc>
          <w:tcPr>
            <w:tcW w:w="4519" w:type="pct"/>
            <w:gridSpan w:val="7"/>
            <w:shd w:val="clear" w:color="auto" w:fill="FFFFFF"/>
            <w:tcMar>
              <w:top w:w="100" w:type="dxa"/>
              <w:left w:w="0" w:type="dxa"/>
              <w:bottom w:w="100" w:type="dxa"/>
              <w:right w:w="160" w:type="dxa"/>
            </w:tcMar>
            <w:vAlign w:val="center"/>
          </w:tcPr>
          <w:p w14:paraId="7A64496B">
            <w:pPr>
              <w:widowControl/>
              <w:spacing w:line="240" w:lineRule="auto"/>
              <w:jc w:val="center"/>
              <w:rPr>
                <w:rFonts w:ascii="Times New Roman" w:hAnsi="Times New Roman"/>
                <w:b/>
                <w:bCs/>
                <w:color w:val="0F1115"/>
                <w:kern w:val="0"/>
                <w:lang w:bidi="ar"/>
              </w:rPr>
            </w:pPr>
            <w:r>
              <w:rPr>
                <w:rFonts w:ascii="Times New Roman" w:hAnsi="Times New Roman"/>
                <w:b/>
                <w:bCs/>
                <w:color w:val="0F1115"/>
                <w:kern w:val="0"/>
                <w:lang w:bidi="ar"/>
              </w:rPr>
              <w:t>累计工时</w:t>
            </w:r>
          </w:p>
        </w:tc>
        <w:tc>
          <w:tcPr>
            <w:tcW w:w="480" w:type="pct"/>
            <w:shd w:val="clear" w:color="auto" w:fill="FFFFFF"/>
            <w:tcMar>
              <w:top w:w="100" w:type="dxa"/>
              <w:left w:w="160" w:type="dxa"/>
              <w:bottom w:w="100" w:type="dxa"/>
              <w:right w:w="160" w:type="dxa"/>
            </w:tcMar>
            <w:vAlign w:val="center"/>
          </w:tcPr>
          <w:p w14:paraId="3EB2ECA0">
            <w:pPr>
              <w:widowControl/>
              <w:spacing w:line="240" w:lineRule="auto"/>
              <w:jc w:val="center"/>
              <w:rPr>
                <w:rFonts w:ascii="Times New Roman" w:hAnsi="Times New Roman"/>
                <w:b/>
                <w:bCs/>
                <w:color w:val="0F1115"/>
                <w:kern w:val="0"/>
                <w:lang w:bidi="ar"/>
              </w:rPr>
            </w:pPr>
          </w:p>
        </w:tc>
      </w:tr>
    </w:tbl>
    <w:p w14:paraId="27EC1727">
      <w:pPr>
        <w:spacing w:line="200" w:lineRule="exact"/>
        <w:rPr>
          <w:rFonts w:ascii="Times New Roman" w:hAnsi="Times New Roman"/>
        </w:rPr>
      </w:pPr>
    </w:p>
    <w:tbl>
      <w:tblPr>
        <w:tblStyle w:val="28"/>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0"/>
        <w:gridCol w:w="1033"/>
        <w:gridCol w:w="668"/>
        <w:gridCol w:w="759"/>
      </w:tblGrid>
      <w:tr w14:paraId="6B5B4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410" w:type="dxa"/>
          </w:tcPr>
          <w:p w14:paraId="1812FE1A">
            <w:pPr>
              <w:spacing w:line="280" w:lineRule="exact"/>
              <w:jc w:val="right"/>
              <w:rPr>
                <w:b/>
                <w:bCs/>
              </w:rPr>
            </w:pPr>
            <w:r>
              <w:rPr>
                <w:rFonts w:hint="eastAsia" w:ascii="宋体" w:hAnsi="宋体" w:cs="宋体"/>
                <w:b/>
                <w:bCs/>
              </w:rPr>
              <w:t>本人签字</w:t>
            </w:r>
          </w:p>
        </w:tc>
        <w:tc>
          <w:tcPr>
            <w:tcW w:w="1033" w:type="dxa"/>
          </w:tcPr>
          <w:p w14:paraId="4AAEA242">
            <w:pPr>
              <w:spacing w:line="280" w:lineRule="exact"/>
              <w:jc w:val="left"/>
              <w:rPr>
                <w:b/>
                <w:bCs/>
              </w:rPr>
            </w:pPr>
          </w:p>
        </w:tc>
        <w:tc>
          <w:tcPr>
            <w:tcW w:w="668" w:type="dxa"/>
          </w:tcPr>
          <w:p w14:paraId="1CAC8D00">
            <w:pPr>
              <w:spacing w:line="280" w:lineRule="exact"/>
              <w:jc w:val="left"/>
              <w:rPr>
                <w:b/>
                <w:bCs/>
              </w:rPr>
            </w:pPr>
            <w:r>
              <w:rPr>
                <w:rFonts w:hint="eastAsia" w:ascii="宋体" w:hAnsi="宋体" w:cs="宋体"/>
                <w:b/>
                <w:bCs/>
              </w:rPr>
              <w:t>日期</w:t>
            </w:r>
          </w:p>
        </w:tc>
        <w:tc>
          <w:tcPr>
            <w:tcW w:w="759" w:type="dxa"/>
          </w:tcPr>
          <w:p w14:paraId="704DBD78">
            <w:pPr>
              <w:spacing w:line="280" w:lineRule="exact"/>
              <w:jc w:val="left"/>
              <w:rPr>
                <w:b/>
                <w:bCs/>
              </w:rPr>
            </w:pPr>
          </w:p>
        </w:tc>
      </w:tr>
      <w:tr w14:paraId="45DA6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410" w:type="dxa"/>
          </w:tcPr>
          <w:p w14:paraId="3F24FD81">
            <w:pPr>
              <w:spacing w:line="280" w:lineRule="exact"/>
              <w:jc w:val="right"/>
              <w:rPr>
                <w:b/>
                <w:bCs/>
              </w:rPr>
            </w:pPr>
            <w:r>
              <w:rPr>
                <w:rFonts w:hint="eastAsia" w:ascii="宋体" w:hAnsi="宋体" w:cs="宋体"/>
                <w:b/>
                <w:bCs/>
              </w:rPr>
              <w:t>评价项目负责人签字</w:t>
            </w:r>
          </w:p>
        </w:tc>
        <w:tc>
          <w:tcPr>
            <w:tcW w:w="1033" w:type="dxa"/>
          </w:tcPr>
          <w:p w14:paraId="2003F88D">
            <w:pPr>
              <w:spacing w:line="280" w:lineRule="exact"/>
              <w:jc w:val="left"/>
              <w:rPr>
                <w:b/>
                <w:bCs/>
              </w:rPr>
            </w:pPr>
          </w:p>
        </w:tc>
        <w:tc>
          <w:tcPr>
            <w:tcW w:w="668" w:type="dxa"/>
          </w:tcPr>
          <w:p w14:paraId="6DE0A9B3">
            <w:pPr>
              <w:spacing w:line="280" w:lineRule="exact"/>
              <w:jc w:val="left"/>
              <w:rPr>
                <w:b/>
                <w:bCs/>
              </w:rPr>
            </w:pPr>
            <w:r>
              <w:rPr>
                <w:rFonts w:hint="eastAsia"/>
                <w:b/>
                <w:bCs/>
              </w:rPr>
              <w:t>日期</w:t>
            </w:r>
          </w:p>
        </w:tc>
        <w:tc>
          <w:tcPr>
            <w:tcW w:w="759" w:type="dxa"/>
          </w:tcPr>
          <w:p w14:paraId="487B50A4">
            <w:pPr>
              <w:spacing w:line="280" w:lineRule="exact"/>
              <w:jc w:val="left"/>
              <w:rPr>
                <w:b/>
                <w:bCs/>
              </w:rPr>
            </w:pPr>
          </w:p>
        </w:tc>
      </w:tr>
      <w:tr w14:paraId="7BB5B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exact"/>
          <w:jc w:val="right"/>
        </w:trPr>
        <w:tc>
          <w:tcPr>
            <w:tcW w:w="2410" w:type="dxa"/>
          </w:tcPr>
          <w:p w14:paraId="273A794A">
            <w:pPr>
              <w:spacing w:line="280" w:lineRule="exact"/>
              <w:jc w:val="right"/>
              <w:rPr>
                <w:rFonts w:ascii="宋体" w:hAnsi="宋体" w:cs="宋体"/>
                <w:b/>
                <w:bCs/>
              </w:rPr>
            </w:pPr>
            <w:r>
              <w:rPr>
                <w:rFonts w:hint="eastAsia" w:ascii="宋体" w:hAnsi="宋体" w:cs="宋体"/>
                <w:b/>
                <w:bCs/>
              </w:rPr>
              <w:t>被评价企业负责人签字</w:t>
            </w:r>
          </w:p>
        </w:tc>
        <w:tc>
          <w:tcPr>
            <w:tcW w:w="1033" w:type="dxa"/>
          </w:tcPr>
          <w:p w14:paraId="1ED38403">
            <w:pPr>
              <w:spacing w:line="280" w:lineRule="exact"/>
              <w:jc w:val="left"/>
              <w:rPr>
                <w:b/>
                <w:bCs/>
              </w:rPr>
            </w:pPr>
          </w:p>
        </w:tc>
        <w:tc>
          <w:tcPr>
            <w:tcW w:w="668" w:type="dxa"/>
          </w:tcPr>
          <w:p w14:paraId="181F4000">
            <w:pPr>
              <w:spacing w:line="280" w:lineRule="exact"/>
              <w:jc w:val="left"/>
              <w:rPr>
                <w:rFonts w:ascii="宋体" w:hAnsi="宋体" w:cs="宋体"/>
                <w:b/>
                <w:bCs/>
              </w:rPr>
            </w:pPr>
            <w:r>
              <w:rPr>
                <w:rFonts w:hint="eastAsia" w:ascii="宋体" w:hAnsi="宋体" w:cs="宋体"/>
                <w:b/>
                <w:bCs/>
              </w:rPr>
              <w:t>日期</w:t>
            </w:r>
          </w:p>
        </w:tc>
        <w:tc>
          <w:tcPr>
            <w:tcW w:w="759" w:type="dxa"/>
          </w:tcPr>
          <w:p w14:paraId="39F02011">
            <w:pPr>
              <w:spacing w:line="280" w:lineRule="exact"/>
              <w:jc w:val="left"/>
              <w:rPr>
                <w:b/>
                <w:bCs/>
              </w:rPr>
            </w:pPr>
          </w:p>
        </w:tc>
      </w:tr>
    </w:tbl>
    <w:p w14:paraId="2E5E386A">
      <w:pPr>
        <w:rPr>
          <w:color w:val="000000"/>
        </w:rPr>
      </w:pPr>
      <w:r>
        <w:rPr>
          <w:rFonts w:ascii="Times New Roman" w:hAnsi="Times New Roman"/>
        </w:rPr>
        <w:br w:type="page"/>
      </w:r>
      <w:r>
        <w:rPr>
          <w:rFonts w:ascii="黑体" w:hAnsi="黑体" w:eastAsia="黑体"/>
        </w:rPr>
        <w:t>A.</w:t>
      </w:r>
      <w:r>
        <w:rPr>
          <w:rFonts w:hint="eastAsia" w:ascii="黑体" w:hAnsi="黑体" w:eastAsia="黑体"/>
        </w:rPr>
        <w:t>2</w:t>
      </w:r>
      <w:r>
        <w:rPr>
          <w:rFonts w:ascii="黑体" w:hAnsi="黑体" w:eastAsia="黑体"/>
        </w:rPr>
        <w:t>　现场踏勘汇总表</w:t>
      </w:r>
    </w:p>
    <w:p w14:paraId="5E72B513">
      <w:pPr>
        <w:rPr>
          <w:rFonts w:ascii="黑体" w:hAnsi="黑体" w:eastAsia="黑体"/>
        </w:rPr>
      </w:pPr>
      <w:r>
        <w:rPr>
          <w:rFonts w:ascii="黑体" w:hAnsi="黑体" w:eastAsia="黑体"/>
        </w:rPr>
        <w:t>A.</w:t>
      </w:r>
      <w:r>
        <w:rPr>
          <w:rFonts w:hint="eastAsia" w:ascii="黑体" w:hAnsi="黑体" w:eastAsia="黑体"/>
        </w:rPr>
        <w:t>2</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1E5F4547">
      <w:pPr>
        <w:spacing w:line="240" w:lineRule="auto"/>
        <w:ind w:firstLine="420" w:firstLineChars="200"/>
        <w:rPr>
          <w:rFonts w:ascii="宋体" w:hAnsi="宋体" w:cs="宋体"/>
        </w:rPr>
      </w:pPr>
      <w:r>
        <w:rPr>
          <w:rFonts w:ascii="宋体" w:hAnsi="宋体" w:cs="宋体"/>
        </w:rPr>
        <w:t>A.</w:t>
      </w:r>
      <w:r>
        <w:rPr>
          <w:rFonts w:hint="eastAsia" w:ascii="宋体" w:hAnsi="宋体" w:cs="宋体"/>
        </w:rPr>
        <w:t>2</w:t>
      </w:r>
      <w:r>
        <w:rPr>
          <w:rFonts w:ascii="宋体" w:hAnsi="宋体" w:cs="宋体"/>
        </w:rPr>
        <w:t xml:space="preserve">.1.1 </w:t>
      </w:r>
      <w:r>
        <w:rPr>
          <w:rFonts w:hint="eastAsia" w:ascii="宋体" w:hAnsi="宋体" w:cs="宋体"/>
        </w:rPr>
        <w:t>安全</w:t>
      </w:r>
      <w:r>
        <w:rPr>
          <w:rFonts w:hint="eastAsia" w:ascii="宋体" w:hAnsi="宋体"/>
          <w:color w:val="000000"/>
        </w:rPr>
        <w:t>评价</w:t>
      </w:r>
      <w:r>
        <w:rPr>
          <w:rFonts w:hint="eastAsia" w:ascii="宋体" w:hAnsi="宋体" w:cs="宋体"/>
        </w:rPr>
        <w:t>项目组按照一项目一表管理，汇总、填写项目组成员全部踏勘情况。</w:t>
      </w:r>
    </w:p>
    <w:p w14:paraId="01FF4527">
      <w:pPr>
        <w:spacing w:line="240" w:lineRule="auto"/>
        <w:ind w:firstLine="420" w:firstLineChars="200"/>
        <w:rPr>
          <w:rFonts w:ascii="宋体" w:hAnsi="宋体" w:cs="宋体"/>
          <w:color w:val="000000"/>
        </w:rPr>
      </w:pPr>
      <w:r>
        <w:rPr>
          <w:rFonts w:hint="eastAsia" w:ascii="宋体" w:hAnsi="宋体" w:cs="宋体"/>
          <w:color w:val="000000"/>
        </w:rPr>
        <w:t>A.2.1.2 优先填报重点踏勘区域/设施，主要包括：油气集输站场、储罐区、油气处理装置、井场作业区、危险化学品储存及装卸区、消防泵房及消防系统设施、应急放空系统、总变配电室、锅炉房、污水处理装置、油气管道关键段等。</w:t>
      </w:r>
    </w:p>
    <w:p w14:paraId="3B1617F2">
      <w:pPr>
        <w:spacing w:line="240" w:lineRule="auto"/>
        <w:ind w:firstLine="420" w:firstLineChars="200"/>
        <w:rPr>
          <w:rFonts w:ascii="宋体" w:hAnsi="宋体" w:cs="宋体"/>
          <w:color w:val="000000"/>
        </w:rPr>
      </w:pPr>
      <w:r>
        <w:rPr>
          <w:rFonts w:hint="eastAsia" w:ascii="宋体" w:hAnsi="宋体" w:cs="宋体"/>
          <w:color w:val="000000"/>
        </w:rPr>
        <w:t>A.2.1.3 对踏勘的同类设备、设施，应如实统计并标注数量。</w:t>
      </w:r>
    </w:p>
    <w:p w14:paraId="4E4BDBA1">
      <w:pPr>
        <w:spacing w:line="240" w:lineRule="auto"/>
        <w:ind w:firstLine="420" w:firstLineChars="200"/>
        <w:rPr>
          <w:rFonts w:ascii="宋体" w:hAnsi="宋体" w:cs="宋体"/>
          <w:color w:val="000000"/>
        </w:rPr>
      </w:pPr>
      <w:r>
        <w:rPr>
          <w:rFonts w:hint="eastAsia" w:ascii="宋体" w:hAnsi="宋体" w:cs="宋体"/>
          <w:color w:val="000000"/>
        </w:rPr>
        <w:t>A.2.1.4 应按踏勘人员</w:t>
      </w:r>
      <w:r>
        <w:rPr>
          <w:rFonts w:hint="eastAsia" w:ascii="宋体" w:hAnsi="宋体"/>
          <w:color w:val="000000"/>
        </w:rPr>
        <w:t>逐一</w:t>
      </w:r>
      <w:r>
        <w:rPr>
          <w:rFonts w:hint="eastAsia" w:ascii="宋体" w:hAnsi="宋体" w:cs="宋体"/>
          <w:color w:val="000000"/>
        </w:rPr>
        <w:t>列明对应的全部踏勘日期。</w:t>
      </w:r>
    </w:p>
    <w:p w14:paraId="2A00EA9C">
      <w:pPr>
        <w:spacing w:line="240" w:lineRule="auto"/>
        <w:ind w:firstLine="420" w:firstLineChars="200"/>
        <w:rPr>
          <w:rFonts w:ascii="宋体" w:hAnsi="宋体" w:cs="宋体"/>
          <w:color w:val="000000"/>
        </w:rPr>
      </w:pPr>
      <w:r>
        <w:rPr>
          <w:rFonts w:hint="eastAsia" w:ascii="宋体" w:hAnsi="宋体" w:cs="宋体"/>
          <w:color w:val="000000"/>
        </w:rPr>
        <w:t>A.</w:t>
      </w:r>
      <w:r>
        <w:rPr>
          <w:rFonts w:ascii="宋体" w:hAnsi="宋体" w:cs="宋体"/>
          <w:color w:val="000000"/>
        </w:rPr>
        <w:t>2</w:t>
      </w:r>
      <w:r>
        <w:rPr>
          <w:rFonts w:hint="eastAsia" w:ascii="宋体" w:hAnsi="宋体" w:cs="宋体"/>
          <w:color w:val="000000"/>
        </w:rPr>
        <w:t>.1.5</w:t>
      </w:r>
      <w:r>
        <w:rPr>
          <w:rFonts w:ascii="宋体" w:hAnsi="宋体" w:cs="宋体"/>
          <w:color w:val="000000"/>
        </w:rPr>
        <w:t xml:space="preserve"> </w:t>
      </w:r>
      <w:r>
        <w:rPr>
          <w:rFonts w:hint="eastAsia" w:ascii="宋体" w:hAnsi="宋体" w:cs="宋体"/>
          <w:color w:val="000000"/>
        </w:rPr>
        <w:t>评估对象踏勘</w:t>
      </w:r>
      <w:r>
        <w:rPr>
          <w:rFonts w:hint="eastAsia" w:ascii="宋体" w:hAnsi="宋体"/>
          <w:color w:val="000000"/>
        </w:rPr>
        <w:t>数量</w:t>
      </w:r>
      <w:r>
        <w:rPr>
          <w:rFonts w:hint="eastAsia" w:ascii="宋体" w:hAnsi="宋体" w:cs="宋体"/>
          <w:color w:val="000000"/>
        </w:rPr>
        <w:t>和比例如下：</w:t>
      </w:r>
    </w:p>
    <w:p w14:paraId="3DA15617">
      <w:pPr>
        <w:pStyle w:val="57"/>
        <w:numPr>
          <w:ilvl w:val="0"/>
          <w:numId w:val="62"/>
        </w:numPr>
        <w:ind w:firstLine="420"/>
        <w:rPr>
          <w:rFonts w:ascii="宋体" w:hAnsi="宋体"/>
        </w:rPr>
      </w:pPr>
      <w:r>
        <w:rPr>
          <w:rFonts w:hint="eastAsia" w:ascii="宋体" w:hAnsi="宋体"/>
        </w:rPr>
        <w:t>评价对象数量为1～3的，全数踏勘；</w:t>
      </w:r>
    </w:p>
    <w:p w14:paraId="2307E8C5">
      <w:pPr>
        <w:pStyle w:val="57"/>
        <w:numPr>
          <w:ilvl w:val="0"/>
          <w:numId w:val="62"/>
        </w:numPr>
        <w:ind w:firstLine="420"/>
        <w:rPr>
          <w:rFonts w:ascii="宋体" w:hAnsi="宋体"/>
        </w:rPr>
      </w:pPr>
      <w:r>
        <w:rPr>
          <w:rFonts w:hint="eastAsia" w:ascii="宋体" w:hAnsi="宋体"/>
        </w:rPr>
        <w:t>评价对象数量为4～10的，踏勘数量应不少于总数的60%；</w:t>
      </w:r>
    </w:p>
    <w:p w14:paraId="4DD976D2">
      <w:pPr>
        <w:pStyle w:val="57"/>
        <w:numPr>
          <w:ilvl w:val="0"/>
          <w:numId w:val="62"/>
        </w:numPr>
        <w:ind w:firstLine="420"/>
        <w:rPr>
          <w:rFonts w:ascii="宋体" w:hAnsi="宋体" w:cs="宋体"/>
          <w:color w:val="000000"/>
        </w:rPr>
      </w:pPr>
      <w:r>
        <w:rPr>
          <w:rFonts w:hint="eastAsia" w:ascii="宋体" w:hAnsi="宋体"/>
        </w:rPr>
        <w:t>评价对</w:t>
      </w:r>
      <w:r>
        <w:rPr>
          <w:rFonts w:hint="eastAsia" w:ascii="宋体" w:hAnsi="宋体" w:cs="宋体"/>
          <w:color w:val="000000"/>
        </w:rPr>
        <w:t>象数量超过10的，应按比例抽查，须明确抽查比例并说明理由，且抽查数量不得少于6个。</w:t>
      </w:r>
    </w:p>
    <w:p w14:paraId="7570CC4A">
      <w:pPr>
        <w:rPr>
          <w:rFonts w:ascii="黑体" w:hAnsi="黑体" w:eastAsia="黑体"/>
        </w:rPr>
      </w:pPr>
      <w:r>
        <w:rPr>
          <w:rFonts w:ascii="黑体" w:hAnsi="黑体" w:eastAsia="黑体"/>
        </w:rPr>
        <w:t>A.</w:t>
      </w:r>
      <w:r>
        <w:rPr>
          <w:rFonts w:hint="eastAsia" w:ascii="黑体" w:hAnsi="黑体" w:eastAsia="黑体"/>
        </w:rPr>
        <w:t>2</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473CB431">
      <w:pPr>
        <w:ind w:firstLine="420" w:firstLineChars="200"/>
        <w:rPr>
          <w:rFonts w:ascii="宋体" w:hAnsi="宋体" w:cs="宋体"/>
          <w:color w:val="000000"/>
        </w:rPr>
      </w:pPr>
      <w:r>
        <w:rPr>
          <w:rFonts w:hint="eastAsia" w:ascii="宋体" w:hAnsi="宋体" w:cs="宋体"/>
          <w:color w:val="000000"/>
        </w:rPr>
        <w:t>按照表A.2的格式编制现场踏勘汇总表。</w:t>
      </w:r>
    </w:p>
    <w:p w14:paraId="7BFDB687">
      <w:pPr>
        <w:jc w:val="center"/>
        <w:rPr>
          <w:rFonts w:ascii="黑体" w:hAnsi="黑体" w:eastAsia="黑体"/>
        </w:rPr>
      </w:pPr>
      <w:r>
        <w:rPr>
          <w:rFonts w:ascii="黑体" w:hAnsi="黑体" w:eastAsia="黑体"/>
        </w:rPr>
        <w:t>表</w:t>
      </w:r>
      <w:r>
        <w:rPr>
          <w:rFonts w:hint="eastAsia" w:ascii="黑体" w:hAnsi="黑体" w:eastAsia="黑体"/>
        </w:rPr>
        <w:t>A.2</w:t>
      </w:r>
      <w:r>
        <w:rPr>
          <w:rFonts w:ascii="黑体" w:hAnsi="黑体" w:eastAsia="黑体"/>
        </w:rPr>
        <w:t xml:space="preserve">  </w:t>
      </w:r>
      <w:r>
        <w:rPr>
          <w:rFonts w:hint="eastAsia" w:ascii="黑体" w:hAnsi="黑体" w:eastAsia="黑体"/>
        </w:rPr>
        <w:t>现场踏勘汇总表</w:t>
      </w:r>
    </w:p>
    <w:tbl>
      <w:tblPr>
        <w:tblStyle w:val="27"/>
        <w:tblW w:w="49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893"/>
        <w:gridCol w:w="1720"/>
        <w:gridCol w:w="1854"/>
        <w:gridCol w:w="2967"/>
        <w:gridCol w:w="1901"/>
      </w:tblGrid>
      <w:tr w14:paraId="3A8C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399" w:type="pct"/>
            <w:gridSpan w:val="2"/>
            <w:shd w:val="clear" w:color="auto" w:fill="FFFFFF"/>
            <w:tcMar>
              <w:top w:w="60" w:type="dxa"/>
              <w:left w:w="80" w:type="dxa"/>
              <w:bottom w:w="60" w:type="dxa"/>
              <w:right w:w="80" w:type="dxa"/>
            </w:tcMar>
            <w:vAlign w:val="center"/>
          </w:tcPr>
          <w:p w14:paraId="2F101BD9">
            <w:pPr>
              <w:jc w:val="center"/>
              <w:textAlignment w:val="center"/>
              <w:rPr>
                <w:rFonts w:ascii="宋体" w:hAnsi="宋体" w:cs="宋体"/>
                <w:bCs/>
                <w:color w:val="000000"/>
                <w:sz w:val="20"/>
                <w:szCs w:val="20"/>
              </w:rPr>
            </w:pPr>
            <w:r>
              <w:rPr>
                <w:rFonts w:hint="eastAsia" w:ascii="宋体" w:hAnsi="宋体" w:cs="宋体"/>
                <w:bCs/>
                <w:color w:val="000000"/>
                <w:sz w:val="20"/>
                <w:szCs w:val="20"/>
              </w:rPr>
              <w:t>评价项目名称</w:t>
            </w:r>
          </w:p>
        </w:tc>
        <w:tc>
          <w:tcPr>
            <w:tcW w:w="3600" w:type="pct"/>
            <w:gridSpan w:val="3"/>
            <w:shd w:val="clear" w:color="auto" w:fill="FFFFFF"/>
            <w:tcMar>
              <w:top w:w="60" w:type="dxa"/>
              <w:left w:w="80" w:type="dxa"/>
              <w:bottom w:w="60" w:type="dxa"/>
              <w:right w:w="80" w:type="dxa"/>
            </w:tcMar>
            <w:vAlign w:val="center"/>
          </w:tcPr>
          <w:p w14:paraId="22B95E05">
            <w:pPr>
              <w:textAlignment w:val="center"/>
              <w:rPr>
                <w:rFonts w:ascii="宋体" w:hAnsi="宋体" w:cs="宋体"/>
                <w:color w:val="000000"/>
                <w:sz w:val="20"/>
                <w:szCs w:val="20"/>
              </w:rPr>
            </w:pPr>
          </w:p>
        </w:tc>
      </w:tr>
      <w:tr w14:paraId="5BE3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1399" w:type="pct"/>
            <w:gridSpan w:val="2"/>
            <w:shd w:val="clear" w:color="auto" w:fill="FFFFFF"/>
            <w:tcMar>
              <w:top w:w="60" w:type="dxa"/>
              <w:left w:w="80" w:type="dxa"/>
              <w:bottom w:w="60" w:type="dxa"/>
              <w:right w:w="80" w:type="dxa"/>
            </w:tcMar>
            <w:vAlign w:val="center"/>
          </w:tcPr>
          <w:p w14:paraId="619B358A">
            <w:pPr>
              <w:jc w:val="center"/>
              <w:textAlignment w:val="center"/>
              <w:rPr>
                <w:rFonts w:ascii="宋体" w:hAnsi="宋体" w:cs="宋体"/>
                <w:bCs/>
                <w:color w:val="000000"/>
                <w:sz w:val="20"/>
                <w:szCs w:val="20"/>
              </w:rPr>
            </w:pPr>
            <w:r>
              <w:rPr>
                <w:rFonts w:hint="eastAsia" w:ascii="宋体" w:hAnsi="宋体" w:cs="宋体"/>
                <w:bCs/>
                <w:color w:val="000000"/>
                <w:sz w:val="20"/>
                <w:szCs w:val="20"/>
              </w:rPr>
              <w:t>被评价企业名称</w:t>
            </w:r>
          </w:p>
        </w:tc>
        <w:tc>
          <w:tcPr>
            <w:tcW w:w="3600" w:type="pct"/>
            <w:gridSpan w:val="3"/>
            <w:shd w:val="clear" w:color="auto" w:fill="FFFFFF"/>
            <w:tcMar>
              <w:top w:w="60" w:type="dxa"/>
              <w:left w:w="80" w:type="dxa"/>
              <w:bottom w:w="60" w:type="dxa"/>
              <w:right w:w="80" w:type="dxa"/>
            </w:tcMar>
            <w:vAlign w:val="center"/>
          </w:tcPr>
          <w:p w14:paraId="2CEB008C">
            <w:pPr>
              <w:textAlignment w:val="center"/>
              <w:rPr>
                <w:rFonts w:ascii="宋体" w:hAnsi="宋体" w:cs="宋体"/>
                <w:color w:val="000000"/>
                <w:sz w:val="20"/>
                <w:szCs w:val="20"/>
              </w:rPr>
            </w:pPr>
          </w:p>
        </w:tc>
      </w:tr>
      <w:tr w14:paraId="43CE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478" w:type="pct"/>
            <w:shd w:val="clear" w:color="auto" w:fill="FFFFFF"/>
            <w:tcMar>
              <w:top w:w="60" w:type="dxa"/>
              <w:left w:w="80" w:type="dxa"/>
              <w:bottom w:w="60" w:type="dxa"/>
              <w:right w:w="80" w:type="dxa"/>
            </w:tcMar>
            <w:vAlign w:val="center"/>
          </w:tcPr>
          <w:p w14:paraId="5640ED7F">
            <w:pPr>
              <w:jc w:val="center"/>
              <w:textAlignment w:val="center"/>
              <w:rPr>
                <w:rFonts w:ascii="宋体" w:hAnsi="宋体" w:cs="宋体"/>
                <w:bCs/>
                <w:color w:val="000000"/>
                <w:sz w:val="20"/>
                <w:szCs w:val="20"/>
              </w:rPr>
            </w:pPr>
            <w:r>
              <w:rPr>
                <w:rFonts w:hint="eastAsia" w:ascii="宋体" w:hAnsi="宋体" w:cs="宋体"/>
                <w:bCs/>
                <w:color w:val="000000"/>
                <w:sz w:val="20"/>
                <w:szCs w:val="20"/>
              </w:rPr>
              <w:t>序号</w:t>
            </w:r>
          </w:p>
        </w:tc>
        <w:tc>
          <w:tcPr>
            <w:tcW w:w="921" w:type="pct"/>
            <w:shd w:val="clear" w:color="auto" w:fill="FFFFFF"/>
            <w:tcMar>
              <w:top w:w="60" w:type="dxa"/>
              <w:left w:w="80" w:type="dxa"/>
              <w:bottom w:w="60" w:type="dxa"/>
              <w:right w:w="80" w:type="dxa"/>
            </w:tcMar>
            <w:vAlign w:val="center"/>
          </w:tcPr>
          <w:p w14:paraId="7D2812FC">
            <w:pPr>
              <w:jc w:val="center"/>
              <w:textAlignment w:val="center"/>
              <w:rPr>
                <w:rFonts w:ascii="宋体" w:hAnsi="宋体" w:cs="宋体"/>
                <w:bCs/>
                <w:color w:val="000000"/>
                <w:sz w:val="20"/>
                <w:szCs w:val="20"/>
              </w:rPr>
            </w:pPr>
            <w:r>
              <w:rPr>
                <w:rFonts w:hint="eastAsia" w:ascii="宋体" w:hAnsi="宋体" w:cs="宋体"/>
                <w:bCs/>
                <w:color w:val="000000"/>
                <w:sz w:val="20"/>
                <w:szCs w:val="20"/>
              </w:rPr>
              <w:t>踏勘地点</w:t>
            </w:r>
          </w:p>
        </w:tc>
        <w:tc>
          <w:tcPr>
            <w:tcW w:w="992" w:type="pct"/>
            <w:shd w:val="clear" w:color="auto" w:fill="FFFFFF"/>
            <w:vAlign w:val="center"/>
          </w:tcPr>
          <w:p w14:paraId="4E6C4116">
            <w:pPr>
              <w:jc w:val="center"/>
              <w:textAlignment w:val="center"/>
              <w:rPr>
                <w:rFonts w:ascii="宋体" w:hAnsi="宋体" w:cs="宋体"/>
                <w:bCs/>
                <w:color w:val="000000"/>
                <w:sz w:val="20"/>
                <w:szCs w:val="20"/>
              </w:rPr>
            </w:pPr>
            <w:r>
              <w:rPr>
                <w:rFonts w:hint="eastAsia" w:ascii="宋体" w:hAnsi="宋体" w:cs="宋体"/>
                <w:bCs/>
                <w:color w:val="000000"/>
                <w:sz w:val="20"/>
                <w:szCs w:val="20"/>
              </w:rPr>
              <w:t>主要设备设施</w:t>
            </w:r>
          </w:p>
        </w:tc>
        <w:tc>
          <w:tcPr>
            <w:tcW w:w="1589" w:type="pct"/>
            <w:shd w:val="clear" w:color="auto" w:fill="FFFFFF"/>
            <w:tcMar>
              <w:top w:w="60" w:type="dxa"/>
              <w:left w:w="80" w:type="dxa"/>
              <w:bottom w:w="60" w:type="dxa"/>
              <w:right w:w="80" w:type="dxa"/>
            </w:tcMar>
            <w:vAlign w:val="center"/>
          </w:tcPr>
          <w:p w14:paraId="7193C526">
            <w:pPr>
              <w:jc w:val="center"/>
              <w:textAlignment w:val="center"/>
              <w:rPr>
                <w:rFonts w:ascii="宋体" w:hAnsi="宋体" w:cs="宋体"/>
                <w:bCs/>
                <w:color w:val="000000"/>
                <w:sz w:val="20"/>
                <w:szCs w:val="20"/>
                <w:highlight w:val="yellow"/>
              </w:rPr>
            </w:pPr>
            <w:r>
              <w:rPr>
                <w:rFonts w:hint="eastAsia" w:ascii="宋体" w:hAnsi="宋体" w:cs="宋体"/>
                <w:bCs/>
                <w:color w:val="000000"/>
                <w:sz w:val="20"/>
                <w:szCs w:val="20"/>
              </w:rPr>
              <w:t>检查内容</w:t>
            </w:r>
          </w:p>
        </w:tc>
        <w:tc>
          <w:tcPr>
            <w:tcW w:w="1017" w:type="pct"/>
            <w:shd w:val="clear" w:color="auto" w:fill="FFFFFF"/>
            <w:tcMar>
              <w:top w:w="60" w:type="dxa"/>
              <w:left w:w="80" w:type="dxa"/>
              <w:bottom w:w="60" w:type="dxa"/>
              <w:right w:w="80" w:type="dxa"/>
            </w:tcMar>
            <w:vAlign w:val="center"/>
          </w:tcPr>
          <w:p w14:paraId="2FFBC245">
            <w:pPr>
              <w:jc w:val="center"/>
              <w:textAlignment w:val="center"/>
              <w:rPr>
                <w:rFonts w:ascii="宋体" w:hAnsi="宋体" w:cs="宋体"/>
                <w:bCs/>
                <w:color w:val="000000"/>
                <w:sz w:val="20"/>
                <w:szCs w:val="20"/>
                <w:highlight w:val="yellow"/>
              </w:rPr>
            </w:pPr>
            <w:r>
              <w:rPr>
                <w:rFonts w:hint="eastAsia" w:ascii="宋体" w:hAnsi="宋体" w:cs="宋体"/>
                <w:bCs/>
                <w:color w:val="000000"/>
                <w:sz w:val="20"/>
                <w:szCs w:val="20"/>
              </w:rPr>
              <w:t>踏勘人员和日期</w:t>
            </w:r>
          </w:p>
        </w:tc>
      </w:tr>
      <w:tr w14:paraId="75CB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6C9A12E9">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1</w:t>
            </w:r>
          </w:p>
        </w:tc>
        <w:tc>
          <w:tcPr>
            <w:tcW w:w="1720" w:type="dxa"/>
            <w:shd w:val="clear" w:color="auto" w:fill="FFFFFF"/>
            <w:tcMar>
              <w:top w:w="60" w:type="dxa"/>
              <w:left w:w="80" w:type="dxa"/>
              <w:bottom w:w="60" w:type="dxa"/>
              <w:right w:w="80" w:type="dxa"/>
            </w:tcMar>
            <w:vAlign w:val="center"/>
          </w:tcPr>
          <w:p w14:paraId="6A991AD8">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联合站</w:t>
            </w:r>
          </w:p>
        </w:tc>
        <w:tc>
          <w:tcPr>
            <w:tcW w:w="1854" w:type="dxa"/>
            <w:shd w:val="clear" w:color="auto" w:fill="FFFFFF"/>
            <w:vAlign w:val="center"/>
          </w:tcPr>
          <w:p w14:paraId="382A2002">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5292F21E">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59959AA5">
            <w:pPr>
              <w:adjustRightInd/>
              <w:spacing w:line="240" w:lineRule="auto"/>
              <w:jc w:val="center"/>
              <w:textAlignment w:val="center"/>
              <w:rPr>
                <w:rFonts w:ascii="宋体" w:hAnsi="宋体" w:cs="宋体"/>
                <w:color w:val="000000"/>
                <w:sz w:val="20"/>
                <w:szCs w:val="20"/>
              </w:rPr>
            </w:pPr>
          </w:p>
        </w:tc>
      </w:tr>
      <w:tr w14:paraId="215D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11B87A3D">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2</w:t>
            </w:r>
          </w:p>
        </w:tc>
        <w:tc>
          <w:tcPr>
            <w:tcW w:w="1720" w:type="dxa"/>
            <w:shd w:val="clear" w:color="auto" w:fill="FFFFFF"/>
            <w:tcMar>
              <w:top w:w="60" w:type="dxa"/>
              <w:left w:w="80" w:type="dxa"/>
              <w:bottom w:w="60" w:type="dxa"/>
              <w:right w:w="80" w:type="dxa"/>
            </w:tcMar>
            <w:vAlign w:val="center"/>
          </w:tcPr>
          <w:p w14:paraId="22A83953">
            <w:pPr>
              <w:adjustRightInd/>
              <w:spacing w:line="240" w:lineRule="auto"/>
              <w:jc w:val="center"/>
              <w:rPr>
                <w:rFonts w:ascii="宋体" w:hAnsi="宋体" w:cs="宋体"/>
                <w:color w:val="000000"/>
                <w:sz w:val="20"/>
                <w:szCs w:val="20"/>
              </w:rPr>
            </w:pPr>
            <w:r>
              <w:rPr>
                <w:rFonts w:hint="eastAsia" w:ascii="宋体" w:hAnsi="宋体" w:cs="宋体"/>
                <w:color w:val="000000"/>
                <w:sz w:val="20"/>
                <w:szCs w:val="20"/>
              </w:rPr>
              <w:t>处理厂</w:t>
            </w:r>
          </w:p>
        </w:tc>
        <w:tc>
          <w:tcPr>
            <w:tcW w:w="1854" w:type="dxa"/>
            <w:shd w:val="clear" w:color="auto" w:fill="FFFFFF"/>
            <w:vAlign w:val="center"/>
          </w:tcPr>
          <w:p w14:paraId="061CF91F">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1E4BCC25">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603D8B1E">
            <w:pPr>
              <w:adjustRightInd/>
              <w:spacing w:line="240" w:lineRule="auto"/>
              <w:jc w:val="center"/>
              <w:textAlignment w:val="center"/>
              <w:rPr>
                <w:rFonts w:ascii="宋体" w:hAnsi="宋体" w:cs="宋体"/>
                <w:color w:val="000000"/>
                <w:sz w:val="20"/>
                <w:szCs w:val="20"/>
              </w:rPr>
            </w:pPr>
          </w:p>
        </w:tc>
      </w:tr>
      <w:tr w14:paraId="386D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7EB5E073">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3</w:t>
            </w:r>
          </w:p>
        </w:tc>
        <w:tc>
          <w:tcPr>
            <w:tcW w:w="1720" w:type="dxa"/>
            <w:shd w:val="clear" w:color="auto" w:fill="FFFFFF"/>
            <w:tcMar>
              <w:top w:w="60" w:type="dxa"/>
              <w:left w:w="80" w:type="dxa"/>
              <w:bottom w:w="60" w:type="dxa"/>
              <w:right w:w="80" w:type="dxa"/>
            </w:tcMar>
            <w:vAlign w:val="center"/>
          </w:tcPr>
          <w:p w14:paraId="37E123BD">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转油站</w:t>
            </w:r>
          </w:p>
        </w:tc>
        <w:tc>
          <w:tcPr>
            <w:tcW w:w="1854" w:type="dxa"/>
            <w:shd w:val="clear" w:color="auto" w:fill="FFFFFF"/>
            <w:vAlign w:val="center"/>
          </w:tcPr>
          <w:p w14:paraId="58AFDFF9">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23F12D7D">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533383B2">
            <w:pPr>
              <w:adjustRightInd/>
              <w:spacing w:line="240" w:lineRule="auto"/>
              <w:jc w:val="center"/>
              <w:textAlignment w:val="center"/>
              <w:rPr>
                <w:rFonts w:ascii="宋体" w:hAnsi="宋体" w:cs="宋体"/>
                <w:color w:val="000000"/>
                <w:sz w:val="20"/>
                <w:szCs w:val="20"/>
              </w:rPr>
            </w:pPr>
          </w:p>
        </w:tc>
      </w:tr>
      <w:tr w14:paraId="77B5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129A3D37">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4</w:t>
            </w:r>
          </w:p>
        </w:tc>
        <w:tc>
          <w:tcPr>
            <w:tcW w:w="1720" w:type="dxa"/>
            <w:shd w:val="clear" w:color="auto" w:fill="FFFFFF"/>
            <w:tcMar>
              <w:top w:w="60" w:type="dxa"/>
              <w:left w:w="80" w:type="dxa"/>
              <w:bottom w:w="60" w:type="dxa"/>
              <w:right w:w="80" w:type="dxa"/>
            </w:tcMar>
            <w:vAlign w:val="center"/>
          </w:tcPr>
          <w:p w14:paraId="18245BC7">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计量站</w:t>
            </w:r>
          </w:p>
        </w:tc>
        <w:tc>
          <w:tcPr>
            <w:tcW w:w="1854" w:type="dxa"/>
            <w:shd w:val="clear" w:color="auto" w:fill="FFFFFF"/>
            <w:vAlign w:val="center"/>
          </w:tcPr>
          <w:p w14:paraId="48A14DD2">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7F647169">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35D43286">
            <w:pPr>
              <w:adjustRightInd/>
              <w:spacing w:line="240" w:lineRule="auto"/>
              <w:jc w:val="center"/>
              <w:textAlignment w:val="center"/>
              <w:rPr>
                <w:rFonts w:ascii="宋体" w:hAnsi="宋体" w:cs="宋体"/>
                <w:color w:val="000000"/>
                <w:sz w:val="20"/>
                <w:szCs w:val="20"/>
              </w:rPr>
            </w:pPr>
          </w:p>
        </w:tc>
      </w:tr>
      <w:tr w14:paraId="25F25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178B6314">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5</w:t>
            </w:r>
          </w:p>
        </w:tc>
        <w:tc>
          <w:tcPr>
            <w:tcW w:w="1720" w:type="dxa"/>
            <w:shd w:val="clear" w:color="auto" w:fill="FFFFFF"/>
            <w:tcMar>
              <w:top w:w="60" w:type="dxa"/>
              <w:left w:w="80" w:type="dxa"/>
              <w:bottom w:w="60" w:type="dxa"/>
              <w:right w:w="80" w:type="dxa"/>
            </w:tcMar>
            <w:vAlign w:val="center"/>
          </w:tcPr>
          <w:p w14:paraId="78E6CAD7">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施工现场</w:t>
            </w:r>
          </w:p>
        </w:tc>
        <w:tc>
          <w:tcPr>
            <w:tcW w:w="1854" w:type="dxa"/>
            <w:shd w:val="clear" w:color="auto" w:fill="FFFFFF"/>
            <w:vAlign w:val="center"/>
          </w:tcPr>
          <w:p w14:paraId="0709DEDF">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3F7CF354">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49DE9D36">
            <w:pPr>
              <w:adjustRightInd/>
              <w:spacing w:line="240" w:lineRule="auto"/>
              <w:jc w:val="center"/>
              <w:textAlignment w:val="center"/>
              <w:rPr>
                <w:rFonts w:ascii="宋体" w:hAnsi="宋体" w:cs="宋体"/>
                <w:color w:val="000000"/>
                <w:sz w:val="20"/>
                <w:szCs w:val="20"/>
              </w:rPr>
            </w:pPr>
          </w:p>
        </w:tc>
      </w:tr>
      <w:tr w14:paraId="45A1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7A79264C">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6</w:t>
            </w:r>
          </w:p>
        </w:tc>
        <w:tc>
          <w:tcPr>
            <w:tcW w:w="1720" w:type="dxa"/>
            <w:shd w:val="clear" w:color="auto" w:fill="FFFFFF"/>
            <w:tcMar>
              <w:top w:w="60" w:type="dxa"/>
              <w:left w:w="80" w:type="dxa"/>
              <w:bottom w:w="60" w:type="dxa"/>
              <w:right w:w="80" w:type="dxa"/>
            </w:tcMar>
            <w:vAlign w:val="center"/>
          </w:tcPr>
          <w:p w14:paraId="1173C7BE">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作业营地</w:t>
            </w:r>
          </w:p>
        </w:tc>
        <w:tc>
          <w:tcPr>
            <w:tcW w:w="1854" w:type="dxa"/>
            <w:shd w:val="clear" w:color="auto" w:fill="FFFFFF"/>
            <w:vAlign w:val="center"/>
          </w:tcPr>
          <w:p w14:paraId="656C0AFB">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1184096B">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377178CB">
            <w:pPr>
              <w:adjustRightInd/>
              <w:spacing w:line="240" w:lineRule="auto"/>
              <w:jc w:val="center"/>
              <w:textAlignment w:val="center"/>
              <w:rPr>
                <w:rFonts w:ascii="宋体" w:hAnsi="宋体" w:cs="宋体"/>
                <w:color w:val="000000"/>
                <w:sz w:val="20"/>
                <w:szCs w:val="20"/>
              </w:rPr>
            </w:pPr>
          </w:p>
        </w:tc>
      </w:tr>
      <w:tr w14:paraId="647D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192C0601">
            <w:pPr>
              <w:adjustRightInd/>
              <w:spacing w:line="240" w:lineRule="auto"/>
              <w:jc w:val="center"/>
              <w:textAlignment w:val="center"/>
              <w:rPr>
                <w:rFonts w:ascii="宋体" w:hAnsi="宋体" w:cs="宋体"/>
                <w:color w:val="000000"/>
                <w:sz w:val="20"/>
                <w:szCs w:val="20"/>
              </w:rPr>
            </w:pPr>
            <w:r>
              <w:rPr>
                <w:rFonts w:ascii="宋体" w:hAnsi="宋体" w:cs="宋体"/>
                <w:color w:val="000000"/>
                <w:sz w:val="20"/>
                <w:szCs w:val="20"/>
              </w:rPr>
              <w:t>7</w:t>
            </w:r>
          </w:p>
        </w:tc>
        <w:tc>
          <w:tcPr>
            <w:tcW w:w="1720" w:type="dxa"/>
            <w:shd w:val="clear" w:color="auto" w:fill="FFFFFF"/>
            <w:tcMar>
              <w:top w:w="60" w:type="dxa"/>
              <w:left w:w="80" w:type="dxa"/>
              <w:bottom w:w="60" w:type="dxa"/>
              <w:right w:w="80" w:type="dxa"/>
            </w:tcMar>
            <w:vAlign w:val="center"/>
          </w:tcPr>
          <w:p w14:paraId="2B359AAF">
            <w:pPr>
              <w:autoSpaceDE w:val="0"/>
              <w:spacing w:line="240" w:lineRule="auto"/>
              <w:jc w:val="center"/>
              <w:textAlignment w:val="center"/>
              <w:rPr>
                <w:rFonts w:ascii="宋体" w:hAnsi="宋体" w:cs="宋体"/>
                <w:color w:val="000000"/>
                <w:sz w:val="20"/>
                <w:szCs w:val="20"/>
                <w:highlight w:val="yellow"/>
              </w:rPr>
            </w:pPr>
            <w:r>
              <w:rPr>
                <w:rFonts w:hint="eastAsia" w:ascii="宋体" w:hAnsi="宋体"/>
                <w:color w:val="000000"/>
                <w:sz w:val="20"/>
                <w:szCs w:val="20"/>
              </w:rPr>
              <w:t>天然气管道</w:t>
            </w:r>
          </w:p>
        </w:tc>
        <w:tc>
          <w:tcPr>
            <w:tcW w:w="1854" w:type="dxa"/>
            <w:shd w:val="clear" w:color="auto" w:fill="FFFFFF"/>
            <w:vAlign w:val="center"/>
          </w:tcPr>
          <w:p w14:paraId="28AD5ADC">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0E88236E">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2264058D">
            <w:pPr>
              <w:adjustRightInd/>
              <w:spacing w:line="240" w:lineRule="auto"/>
              <w:jc w:val="center"/>
              <w:textAlignment w:val="center"/>
              <w:rPr>
                <w:rFonts w:ascii="宋体" w:hAnsi="宋体" w:cs="宋体"/>
                <w:color w:val="000000"/>
                <w:sz w:val="20"/>
                <w:szCs w:val="20"/>
              </w:rPr>
            </w:pPr>
          </w:p>
        </w:tc>
      </w:tr>
      <w:tr w14:paraId="1246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0A6109A8">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8</w:t>
            </w:r>
          </w:p>
        </w:tc>
        <w:tc>
          <w:tcPr>
            <w:tcW w:w="1720" w:type="dxa"/>
            <w:shd w:val="clear" w:color="auto" w:fill="FFFFFF"/>
            <w:tcMar>
              <w:top w:w="60" w:type="dxa"/>
              <w:left w:w="80" w:type="dxa"/>
              <w:bottom w:w="60" w:type="dxa"/>
              <w:right w:w="80" w:type="dxa"/>
            </w:tcMar>
            <w:vAlign w:val="center"/>
          </w:tcPr>
          <w:p w14:paraId="031BFD44">
            <w:pPr>
              <w:autoSpaceDE w:val="0"/>
              <w:spacing w:line="240" w:lineRule="auto"/>
              <w:jc w:val="center"/>
              <w:textAlignment w:val="center"/>
              <w:rPr>
                <w:rFonts w:ascii="宋体" w:hAnsi="宋体" w:cs="宋体"/>
                <w:color w:val="000000"/>
                <w:sz w:val="20"/>
                <w:szCs w:val="20"/>
                <w:highlight w:val="yellow"/>
              </w:rPr>
            </w:pPr>
            <w:r>
              <w:rPr>
                <w:rFonts w:hint="eastAsia" w:ascii="宋体" w:hAnsi="宋体"/>
                <w:color w:val="000000"/>
                <w:sz w:val="20"/>
                <w:szCs w:val="20"/>
              </w:rPr>
              <w:t>原油管道</w:t>
            </w:r>
          </w:p>
        </w:tc>
        <w:tc>
          <w:tcPr>
            <w:tcW w:w="1854" w:type="dxa"/>
            <w:shd w:val="clear" w:color="auto" w:fill="FFFFFF"/>
            <w:vAlign w:val="center"/>
          </w:tcPr>
          <w:p w14:paraId="6A7CA0B1">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41797922">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6C5291CA">
            <w:pPr>
              <w:adjustRightInd/>
              <w:spacing w:line="240" w:lineRule="auto"/>
              <w:jc w:val="center"/>
              <w:textAlignment w:val="center"/>
              <w:rPr>
                <w:rFonts w:ascii="宋体" w:hAnsi="宋体" w:cs="宋体"/>
                <w:color w:val="000000"/>
                <w:sz w:val="20"/>
                <w:szCs w:val="20"/>
              </w:rPr>
            </w:pPr>
          </w:p>
        </w:tc>
      </w:tr>
      <w:tr w14:paraId="4572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30CBFD47">
            <w:pPr>
              <w:adjustRightInd/>
              <w:spacing w:line="240" w:lineRule="auto"/>
              <w:jc w:val="center"/>
              <w:textAlignment w:val="center"/>
              <w:rPr>
                <w:rFonts w:ascii="宋体" w:hAnsi="宋体" w:cs="宋体"/>
                <w:color w:val="000000"/>
                <w:sz w:val="20"/>
                <w:szCs w:val="20"/>
              </w:rPr>
            </w:pPr>
            <w:r>
              <w:rPr>
                <w:rFonts w:hint="eastAsia" w:ascii="宋体" w:hAnsi="宋体" w:cs="宋体"/>
                <w:color w:val="000000"/>
                <w:sz w:val="20"/>
                <w:szCs w:val="20"/>
              </w:rPr>
              <w:t>9</w:t>
            </w:r>
          </w:p>
        </w:tc>
        <w:tc>
          <w:tcPr>
            <w:tcW w:w="1720" w:type="dxa"/>
            <w:shd w:val="clear" w:color="auto" w:fill="FFFFFF"/>
            <w:tcMar>
              <w:top w:w="60" w:type="dxa"/>
              <w:left w:w="80" w:type="dxa"/>
              <w:bottom w:w="60" w:type="dxa"/>
              <w:right w:w="80" w:type="dxa"/>
            </w:tcMar>
            <w:vAlign w:val="center"/>
          </w:tcPr>
          <w:p w14:paraId="5120224E">
            <w:pPr>
              <w:adjustRightInd/>
              <w:spacing w:line="240" w:lineRule="auto"/>
              <w:jc w:val="center"/>
              <w:textAlignment w:val="center"/>
              <w:rPr>
                <w:rFonts w:ascii="宋体" w:hAnsi="宋体" w:cs="宋体"/>
                <w:color w:val="000000"/>
                <w:sz w:val="20"/>
                <w:szCs w:val="20"/>
              </w:rPr>
            </w:pPr>
            <w:r>
              <w:rPr>
                <w:rFonts w:ascii="宋体" w:hAnsi="宋体" w:cs="宋体"/>
                <w:color w:val="000000"/>
                <w:sz w:val="20"/>
                <w:szCs w:val="20"/>
              </w:rPr>
              <w:t>…</w:t>
            </w:r>
          </w:p>
        </w:tc>
        <w:tc>
          <w:tcPr>
            <w:tcW w:w="1854" w:type="dxa"/>
            <w:shd w:val="clear" w:color="auto" w:fill="FFFFFF"/>
            <w:vAlign w:val="center"/>
          </w:tcPr>
          <w:p w14:paraId="49B82D68">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543D7920">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35A88983">
            <w:pPr>
              <w:adjustRightInd/>
              <w:spacing w:line="240" w:lineRule="auto"/>
              <w:jc w:val="center"/>
              <w:textAlignment w:val="center"/>
              <w:rPr>
                <w:rFonts w:ascii="宋体" w:hAnsi="宋体" w:cs="宋体"/>
                <w:color w:val="000000"/>
                <w:sz w:val="20"/>
                <w:szCs w:val="20"/>
              </w:rPr>
            </w:pPr>
          </w:p>
        </w:tc>
      </w:tr>
      <w:tr w14:paraId="1663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893" w:type="dxa"/>
            <w:shd w:val="clear" w:color="auto" w:fill="FFFFFF"/>
            <w:tcMar>
              <w:top w:w="60" w:type="dxa"/>
              <w:left w:w="80" w:type="dxa"/>
              <w:bottom w:w="60" w:type="dxa"/>
              <w:right w:w="80" w:type="dxa"/>
            </w:tcMar>
            <w:vAlign w:val="center"/>
          </w:tcPr>
          <w:p w14:paraId="0D5B23DC">
            <w:pPr>
              <w:adjustRightInd/>
              <w:spacing w:line="240" w:lineRule="auto"/>
              <w:jc w:val="center"/>
              <w:textAlignment w:val="center"/>
              <w:rPr>
                <w:rFonts w:ascii="宋体" w:hAnsi="宋体" w:cs="宋体"/>
                <w:color w:val="000000"/>
                <w:sz w:val="20"/>
                <w:szCs w:val="20"/>
              </w:rPr>
            </w:pPr>
            <w:r>
              <w:rPr>
                <w:rFonts w:ascii="宋体" w:hAnsi="宋体" w:cs="宋体"/>
                <w:color w:val="000000"/>
                <w:sz w:val="20"/>
                <w:szCs w:val="20"/>
              </w:rPr>
              <w:t>…</w:t>
            </w:r>
          </w:p>
        </w:tc>
        <w:tc>
          <w:tcPr>
            <w:tcW w:w="1720" w:type="dxa"/>
            <w:shd w:val="clear" w:color="auto" w:fill="FFFFFF"/>
            <w:tcMar>
              <w:top w:w="60" w:type="dxa"/>
              <w:left w:w="80" w:type="dxa"/>
              <w:bottom w:w="60" w:type="dxa"/>
              <w:right w:w="80" w:type="dxa"/>
            </w:tcMar>
            <w:vAlign w:val="center"/>
          </w:tcPr>
          <w:p w14:paraId="55BA902B">
            <w:pPr>
              <w:adjustRightInd/>
              <w:spacing w:line="240" w:lineRule="auto"/>
              <w:jc w:val="center"/>
              <w:textAlignment w:val="center"/>
              <w:rPr>
                <w:rFonts w:ascii="宋体" w:hAnsi="宋体" w:cs="宋体"/>
                <w:color w:val="000000"/>
                <w:sz w:val="20"/>
                <w:szCs w:val="20"/>
              </w:rPr>
            </w:pPr>
            <w:r>
              <w:rPr>
                <w:rFonts w:ascii="宋体" w:hAnsi="宋体" w:cs="宋体"/>
                <w:color w:val="000000"/>
                <w:sz w:val="20"/>
                <w:szCs w:val="20"/>
              </w:rPr>
              <w:t>…</w:t>
            </w:r>
          </w:p>
        </w:tc>
        <w:tc>
          <w:tcPr>
            <w:tcW w:w="1854" w:type="dxa"/>
            <w:shd w:val="clear" w:color="auto" w:fill="FFFFFF"/>
            <w:vAlign w:val="center"/>
          </w:tcPr>
          <w:p w14:paraId="759E5980">
            <w:pPr>
              <w:adjustRightInd/>
              <w:spacing w:line="240" w:lineRule="auto"/>
              <w:rPr>
                <w:rFonts w:ascii="宋体" w:hAnsi="宋体" w:cs="宋体"/>
                <w:color w:val="000000"/>
                <w:sz w:val="20"/>
                <w:szCs w:val="20"/>
              </w:rPr>
            </w:pPr>
          </w:p>
        </w:tc>
        <w:tc>
          <w:tcPr>
            <w:tcW w:w="2969" w:type="dxa"/>
            <w:shd w:val="clear" w:color="auto" w:fill="FFFFFF"/>
            <w:tcMar>
              <w:top w:w="60" w:type="dxa"/>
              <w:left w:w="80" w:type="dxa"/>
              <w:bottom w:w="60" w:type="dxa"/>
              <w:right w:w="80" w:type="dxa"/>
            </w:tcMar>
            <w:vAlign w:val="center"/>
          </w:tcPr>
          <w:p w14:paraId="5EEF5C96">
            <w:pPr>
              <w:adjustRightInd/>
              <w:spacing w:line="240" w:lineRule="auto"/>
              <w:jc w:val="center"/>
              <w:textAlignment w:val="center"/>
              <w:rPr>
                <w:rFonts w:ascii="宋体" w:hAnsi="宋体" w:cs="宋体"/>
                <w:color w:val="000000"/>
                <w:sz w:val="20"/>
                <w:szCs w:val="20"/>
              </w:rPr>
            </w:pPr>
          </w:p>
        </w:tc>
        <w:tc>
          <w:tcPr>
            <w:tcW w:w="1901" w:type="dxa"/>
            <w:shd w:val="clear" w:color="auto" w:fill="FFFFFF"/>
            <w:tcMar>
              <w:top w:w="60" w:type="dxa"/>
              <w:left w:w="80" w:type="dxa"/>
              <w:bottom w:w="60" w:type="dxa"/>
              <w:right w:w="80" w:type="dxa"/>
            </w:tcMar>
            <w:vAlign w:val="center"/>
          </w:tcPr>
          <w:p w14:paraId="32DCE487">
            <w:pPr>
              <w:adjustRightInd/>
              <w:spacing w:line="240" w:lineRule="auto"/>
              <w:jc w:val="center"/>
              <w:textAlignment w:val="center"/>
              <w:rPr>
                <w:rFonts w:ascii="宋体" w:hAnsi="宋体" w:cs="宋体"/>
                <w:color w:val="000000"/>
                <w:sz w:val="20"/>
                <w:szCs w:val="20"/>
              </w:rPr>
            </w:pPr>
          </w:p>
        </w:tc>
      </w:tr>
      <w:tr w14:paraId="20C9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2392" w:type="pct"/>
            <w:gridSpan w:val="3"/>
            <w:shd w:val="clear" w:color="auto" w:fill="FFFFFF"/>
            <w:vAlign w:val="center"/>
          </w:tcPr>
          <w:p w14:paraId="1CDD5A7A">
            <w:pPr>
              <w:jc w:val="center"/>
              <w:rPr>
                <w:rFonts w:ascii="宋体" w:hAnsi="宋体" w:cs="宋体"/>
                <w:bCs/>
                <w:color w:val="000000"/>
                <w:sz w:val="20"/>
                <w:szCs w:val="20"/>
              </w:rPr>
            </w:pPr>
            <w:r>
              <w:rPr>
                <w:rFonts w:hint="eastAsia" w:ascii="宋体" w:hAnsi="宋体" w:cs="宋体"/>
                <w:bCs/>
                <w:color w:val="000000"/>
                <w:sz w:val="20"/>
                <w:szCs w:val="20"/>
              </w:rPr>
              <w:t xml:space="preserve">合 </w:t>
            </w:r>
            <w:r>
              <w:rPr>
                <w:rFonts w:ascii="宋体" w:hAnsi="宋体" w:cs="宋体"/>
                <w:bCs/>
                <w:color w:val="000000"/>
                <w:sz w:val="20"/>
                <w:szCs w:val="20"/>
              </w:rPr>
              <w:t xml:space="preserve"> </w:t>
            </w:r>
            <w:r>
              <w:rPr>
                <w:rFonts w:hint="eastAsia" w:ascii="宋体" w:hAnsi="宋体" w:cs="宋体"/>
                <w:bCs/>
                <w:color w:val="000000"/>
                <w:sz w:val="20"/>
                <w:szCs w:val="20"/>
              </w:rPr>
              <w:t>计</w:t>
            </w:r>
          </w:p>
        </w:tc>
        <w:tc>
          <w:tcPr>
            <w:tcW w:w="1589" w:type="pct"/>
            <w:shd w:val="clear" w:color="auto" w:fill="FFFFFF"/>
            <w:vAlign w:val="center"/>
          </w:tcPr>
          <w:p w14:paraId="1A1DDAB9">
            <w:pPr>
              <w:jc w:val="center"/>
              <w:textAlignment w:val="center"/>
              <w:rPr>
                <w:rFonts w:ascii="宋体" w:hAnsi="宋体" w:cs="宋体"/>
                <w:bCs/>
                <w:color w:val="000000"/>
                <w:sz w:val="20"/>
                <w:szCs w:val="20"/>
              </w:rPr>
            </w:pPr>
          </w:p>
        </w:tc>
        <w:tc>
          <w:tcPr>
            <w:tcW w:w="1017" w:type="pct"/>
            <w:shd w:val="clear" w:color="auto" w:fill="FFFFFF"/>
            <w:tcMar>
              <w:top w:w="60" w:type="dxa"/>
              <w:left w:w="80" w:type="dxa"/>
              <w:bottom w:w="60" w:type="dxa"/>
              <w:right w:w="80" w:type="dxa"/>
            </w:tcMar>
            <w:vAlign w:val="center"/>
          </w:tcPr>
          <w:p w14:paraId="1A3D9D45">
            <w:pPr>
              <w:jc w:val="center"/>
              <w:textAlignment w:val="center"/>
              <w:rPr>
                <w:rFonts w:ascii="宋体" w:hAnsi="宋体" w:cs="宋体"/>
                <w:bCs/>
                <w:color w:val="000000"/>
                <w:sz w:val="20"/>
                <w:szCs w:val="20"/>
              </w:rPr>
            </w:pPr>
          </w:p>
        </w:tc>
      </w:tr>
    </w:tbl>
    <w:tbl>
      <w:tblPr>
        <w:tblStyle w:val="28"/>
        <w:tblW w:w="0" w:type="auto"/>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48"/>
        <w:gridCol w:w="1033"/>
        <w:gridCol w:w="668"/>
        <w:gridCol w:w="759"/>
      </w:tblGrid>
      <w:tr w14:paraId="2336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548" w:type="dxa"/>
          </w:tcPr>
          <w:p w14:paraId="11DB4E08">
            <w:pPr>
              <w:spacing w:line="280" w:lineRule="exact"/>
              <w:jc w:val="right"/>
              <w:rPr>
                <w:b/>
                <w:bCs/>
              </w:rPr>
            </w:pPr>
          </w:p>
        </w:tc>
        <w:tc>
          <w:tcPr>
            <w:tcW w:w="1033" w:type="dxa"/>
          </w:tcPr>
          <w:p w14:paraId="4DA9640A">
            <w:pPr>
              <w:spacing w:line="280" w:lineRule="exact"/>
              <w:jc w:val="left"/>
              <w:rPr>
                <w:b/>
                <w:bCs/>
              </w:rPr>
            </w:pPr>
          </w:p>
        </w:tc>
        <w:tc>
          <w:tcPr>
            <w:tcW w:w="668" w:type="dxa"/>
          </w:tcPr>
          <w:p w14:paraId="35D0431C">
            <w:pPr>
              <w:spacing w:line="280" w:lineRule="exact"/>
              <w:jc w:val="left"/>
              <w:rPr>
                <w:b/>
                <w:bCs/>
              </w:rPr>
            </w:pPr>
          </w:p>
        </w:tc>
        <w:tc>
          <w:tcPr>
            <w:tcW w:w="759" w:type="dxa"/>
          </w:tcPr>
          <w:p w14:paraId="3767B2C4">
            <w:pPr>
              <w:spacing w:line="280" w:lineRule="exact"/>
              <w:jc w:val="left"/>
              <w:rPr>
                <w:b/>
                <w:bCs/>
              </w:rPr>
            </w:pPr>
          </w:p>
        </w:tc>
      </w:tr>
      <w:tr w14:paraId="02907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exact"/>
          <w:jc w:val="right"/>
        </w:trPr>
        <w:tc>
          <w:tcPr>
            <w:tcW w:w="2548" w:type="dxa"/>
          </w:tcPr>
          <w:p w14:paraId="5EE5AF23">
            <w:pPr>
              <w:spacing w:line="280" w:lineRule="exact"/>
              <w:jc w:val="right"/>
              <w:rPr>
                <w:b/>
                <w:bCs/>
              </w:rPr>
            </w:pPr>
            <w:r>
              <w:rPr>
                <w:rFonts w:hint="eastAsia" w:ascii="宋体" w:hAnsi="宋体" w:cs="宋体"/>
                <w:b/>
                <w:bCs/>
              </w:rPr>
              <w:t>评价项目负责人签字</w:t>
            </w:r>
          </w:p>
        </w:tc>
        <w:tc>
          <w:tcPr>
            <w:tcW w:w="1033" w:type="dxa"/>
          </w:tcPr>
          <w:p w14:paraId="518D1CE8">
            <w:pPr>
              <w:spacing w:line="280" w:lineRule="exact"/>
              <w:jc w:val="left"/>
              <w:rPr>
                <w:b/>
                <w:bCs/>
              </w:rPr>
            </w:pPr>
          </w:p>
        </w:tc>
        <w:tc>
          <w:tcPr>
            <w:tcW w:w="668" w:type="dxa"/>
          </w:tcPr>
          <w:p w14:paraId="2DC2CA39">
            <w:pPr>
              <w:spacing w:line="280" w:lineRule="exact"/>
              <w:jc w:val="left"/>
              <w:rPr>
                <w:b/>
                <w:bCs/>
              </w:rPr>
            </w:pPr>
            <w:r>
              <w:rPr>
                <w:rFonts w:hint="eastAsia"/>
                <w:b/>
                <w:bCs/>
              </w:rPr>
              <w:t>日期</w:t>
            </w:r>
          </w:p>
        </w:tc>
        <w:tc>
          <w:tcPr>
            <w:tcW w:w="759" w:type="dxa"/>
          </w:tcPr>
          <w:p w14:paraId="1293CBCE">
            <w:pPr>
              <w:spacing w:line="280" w:lineRule="exact"/>
              <w:jc w:val="left"/>
              <w:rPr>
                <w:b/>
                <w:bCs/>
              </w:rPr>
            </w:pPr>
          </w:p>
        </w:tc>
      </w:tr>
      <w:tr w14:paraId="79B5B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exact"/>
          <w:jc w:val="right"/>
        </w:trPr>
        <w:tc>
          <w:tcPr>
            <w:tcW w:w="2548" w:type="dxa"/>
          </w:tcPr>
          <w:p w14:paraId="2277BD8E">
            <w:pPr>
              <w:spacing w:line="280" w:lineRule="exact"/>
              <w:jc w:val="right"/>
              <w:rPr>
                <w:rFonts w:ascii="宋体" w:hAnsi="宋体" w:cs="宋体"/>
                <w:b/>
                <w:bCs/>
              </w:rPr>
            </w:pPr>
            <w:r>
              <w:rPr>
                <w:rFonts w:ascii="宋体" w:hAnsi="宋体" w:cs="宋体"/>
                <w:b/>
                <w:bCs/>
              </w:rPr>
              <w:t>被评价企业负责人签字</w:t>
            </w:r>
          </w:p>
        </w:tc>
        <w:tc>
          <w:tcPr>
            <w:tcW w:w="1033" w:type="dxa"/>
          </w:tcPr>
          <w:p w14:paraId="43ECD509">
            <w:pPr>
              <w:spacing w:line="280" w:lineRule="exact"/>
              <w:jc w:val="left"/>
              <w:rPr>
                <w:b/>
                <w:bCs/>
              </w:rPr>
            </w:pPr>
          </w:p>
        </w:tc>
        <w:tc>
          <w:tcPr>
            <w:tcW w:w="668" w:type="dxa"/>
          </w:tcPr>
          <w:p w14:paraId="0F9066CD">
            <w:pPr>
              <w:spacing w:line="280" w:lineRule="exact"/>
              <w:jc w:val="left"/>
              <w:rPr>
                <w:rFonts w:ascii="宋体" w:hAnsi="宋体" w:cs="宋体"/>
                <w:b/>
                <w:bCs/>
              </w:rPr>
            </w:pPr>
            <w:r>
              <w:rPr>
                <w:rFonts w:hint="eastAsia" w:ascii="宋体" w:hAnsi="宋体" w:cs="宋体"/>
                <w:b/>
                <w:bCs/>
              </w:rPr>
              <w:t>日期</w:t>
            </w:r>
          </w:p>
        </w:tc>
        <w:tc>
          <w:tcPr>
            <w:tcW w:w="759" w:type="dxa"/>
          </w:tcPr>
          <w:p w14:paraId="7B8998A9">
            <w:pPr>
              <w:spacing w:line="280" w:lineRule="exact"/>
              <w:jc w:val="left"/>
              <w:rPr>
                <w:b/>
                <w:bCs/>
              </w:rPr>
            </w:pPr>
          </w:p>
        </w:tc>
      </w:tr>
    </w:tbl>
    <w:p w14:paraId="3F919193">
      <w:pPr>
        <w:rPr>
          <w:color w:val="000000"/>
        </w:rPr>
      </w:pPr>
      <w:r>
        <w:rPr>
          <w:rFonts w:hint="eastAsia" w:ascii="黑体" w:hAnsi="黑体" w:eastAsia="黑体"/>
        </w:rPr>
        <w:br w:type="page"/>
      </w:r>
      <w:r>
        <w:rPr>
          <w:rFonts w:ascii="黑体" w:hAnsi="黑体" w:eastAsia="黑体"/>
        </w:rPr>
        <w:t>A.</w:t>
      </w:r>
      <w:r>
        <w:rPr>
          <w:rFonts w:hint="eastAsia" w:ascii="黑体" w:hAnsi="黑体" w:eastAsia="黑体"/>
        </w:rPr>
        <w:t>3</w:t>
      </w:r>
      <w:r>
        <w:rPr>
          <w:rFonts w:ascii="黑体" w:hAnsi="黑体" w:eastAsia="黑体"/>
        </w:rPr>
        <w:t>　隐患问题整改表</w:t>
      </w:r>
    </w:p>
    <w:p w14:paraId="1903DE41">
      <w:pPr>
        <w:rPr>
          <w:rFonts w:ascii="黑体" w:hAnsi="黑体" w:eastAsia="黑体"/>
        </w:rPr>
      </w:pPr>
      <w:r>
        <w:rPr>
          <w:rFonts w:ascii="黑体" w:hAnsi="黑体" w:eastAsia="黑体"/>
        </w:rPr>
        <w:t>A.</w:t>
      </w:r>
      <w:r>
        <w:rPr>
          <w:rFonts w:hint="eastAsia" w:ascii="黑体" w:hAnsi="黑体" w:eastAsia="黑体"/>
        </w:rPr>
        <w:t>3</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30335755">
      <w:pPr>
        <w:ind w:firstLine="420" w:firstLineChars="200"/>
        <w:rPr>
          <w:rFonts w:ascii="宋体" w:hAnsi="宋体" w:cs="宋体"/>
          <w:color w:val="000000"/>
        </w:rPr>
      </w:pPr>
      <w:r>
        <w:rPr>
          <w:rFonts w:hint="eastAsia" w:ascii="宋体" w:hAnsi="宋体" w:cs="宋体"/>
          <w:color w:val="000000"/>
        </w:rPr>
        <w:t xml:space="preserve">A.3.1.1 </w:t>
      </w:r>
      <w:r>
        <w:rPr>
          <w:rFonts w:ascii="宋体" w:hAnsi="宋体" w:cs="宋体"/>
          <w:color w:val="000000"/>
        </w:rPr>
        <w:t>安全评价项目按照一</w:t>
      </w:r>
      <w:r>
        <w:rPr>
          <w:rFonts w:hint="eastAsia" w:ascii="宋体" w:hAnsi="宋体" w:cs="宋体"/>
          <w:color w:val="000000"/>
        </w:rPr>
        <w:t>人</w:t>
      </w:r>
      <w:r>
        <w:rPr>
          <w:rFonts w:ascii="宋体" w:hAnsi="宋体" w:cs="宋体"/>
          <w:color w:val="000000"/>
        </w:rPr>
        <w:t>一表管理</w:t>
      </w:r>
      <w:r>
        <w:rPr>
          <w:rFonts w:hint="eastAsia" w:ascii="宋体" w:hAnsi="宋体" w:cs="宋体"/>
          <w:color w:val="000000"/>
        </w:rPr>
        <w:t>，填写每个成员发现提出的全部问题隐患。</w:t>
      </w:r>
    </w:p>
    <w:p w14:paraId="374D6ECE">
      <w:pPr>
        <w:ind w:firstLine="420" w:firstLineChars="200"/>
        <w:rPr>
          <w:rFonts w:ascii="宋体" w:hAnsi="宋体" w:cs="宋体"/>
          <w:color w:val="000000"/>
        </w:rPr>
      </w:pPr>
      <w:r>
        <w:rPr>
          <w:rFonts w:hint="eastAsia" w:ascii="宋体" w:hAnsi="宋体" w:cs="宋体"/>
          <w:color w:val="000000"/>
        </w:rPr>
        <w:t>A.3.1.2 未发现提出问题隐患的人员“零报告”，在首行首个空格填写“无”。</w:t>
      </w:r>
    </w:p>
    <w:p w14:paraId="3CB2FDA7">
      <w:pPr>
        <w:ind w:firstLine="420" w:firstLineChars="200"/>
        <w:rPr>
          <w:rFonts w:ascii="宋体" w:hAnsi="宋体" w:cs="宋体"/>
          <w:color w:val="000000"/>
        </w:rPr>
      </w:pPr>
      <w:r>
        <w:rPr>
          <w:rFonts w:hint="eastAsia" w:ascii="宋体" w:hAnsi="宋体" w:cs="宋体"/>
          <w:color w:val="000000"/>
        </w:rPr>
        <w:t>A.3.1.3 清晰描述问题隐患情况，直击问题本质。</w:t>
      </w:r>
    </w:p>
    <w:p w14:paraId="6866651F">
      <w:pPr>
        <w:ind w:firstLine="420" w:firstLineChars="200"/>
        <w:rPr>
          <w:rFonts w:ascii="宋体" w:hAnsi="宋体" w:cs="宋体"/>
          <w:color w:val="000000"/>
        </w:rPr>
      </w:pPr>
      <w:r>
        <w:rPr>
          <w:rFonts w:hint="eastAsia" w:ascii="宋体" w:hAnsi="宋体" w:cs="宋体"/>
          <w:color w:val="000000"/>
        </w:rPr>
        <w:t>A.3.1.4 整改情况说明具体整改内容，能体现是否整改合格，不得用“已整改”代替。</w:t>
      </w:r>
    </w:p>
    <w:p w14:paraId="7FA2EB85">
      <w:pPr>
        <w:ind w:firstLine="420" w:firstLineChars="200"/>
        <w:rPr>
          <w:rFonts w:ascii="宋体" w:hAnsi="宋体" w:cs="宋体"/>
          <w:color w:val="000000"/>
        </w:rPr>
      </w:pPr>
      <w:r>
        <w:rPr>
          <w:rFonts w:hint="eastAsia" w:ascii="宋体" w:hAnsi="宋体" w:cs="宋体"/>
          <w:color w:val="000000"/>
        </w:rPr>
        <w:t>A.3.1.5 复查人员应为安全评价项目组人员，须本人签字。</w:t>
      </w:r>
    </w:p>
    <w:p w14:paraId="017275A7">
      <w:pPr>
        <w:rPr>
          <w:rFonts w:ascii="黑体" w:hAnsi="黑体" w:eastAsia="黑体"/>
        </w:rPr>
      </w:pPr>
      <w:r>
        <w:rPr>
          <w:rFonts w:ascii="黑体" w:hAnsi="黑体" w:eastAsia="黑体"/>
        </w:rPr>
        <w:t>A.</w:t>
      </w:r>
      <w:r>
        <w:rPr>
          <w:rFonts w:hint="eastAsia" w:ascii="黑体" w:hAnsi="黑体" w:eastAsia="黑体"/>
        </w:rPr>
        <w:t>3</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2FE1E93D">
      <w:pPr>
        <w:ind w:firstLine="420" w:firstLineChars="200"/>
        <w:rPr>
          <w:rFonts w:ascii="宋体" w:hAnsi="宋体" w:cs="宋体"/>
          <w:color w:val="000000"/>
        </w:rPr>
      </w:pPr>
      <w:r>
        <w:rPr>
          <w:rFonts w:hint="eastAsia" w:ascii="宋体" w:hAnsi="宋体" w:cs="宋体"/>
          <w:color w:val="000000"/>
        </w:rPr>
        <w:t>按照表A.3的格式编制隐患问题整改表。</w:t>
      </w:r>
    </w:p>
    <w:p w14:paraId="586C7A79">
      <w:pPr>
        <w:spacing w:line="280" w:lineRule="exact"/>
        <w:jc w:val="center"/>
        <w:rPr>
          <w:rFonts w:ascii="Times New Roman" w:hAnsi="Times New Roman" w:cs="微软雅黑"/>
          <w:b/>
          <w:bCs/>
          <w:sz w:val="28"/>
          <w:szCs w:val="28"/>
        </w:rPr>
      </w:pPr>
      <w:r>
        <w:rPr>
          <w:rFonts w:ascii="黑体" w:hAnsi="黑体" w:eastAsia="黑体"/>
        </w:rPr>
        <w:t>表</w:t>
      </w:r>
      <w:r>
        <w:rPr>
          <w:rFonts w:hint="eastAsia" w:ascii="黑体" w:hAnsi="黑体" w:eastAsia="黑体"/>
        </w:rPr>
        <w:t xml:space="preserve">A.3  </w:t>
      </w:r>
      <w:r>
        <w:rPr>
          <w:rFonts w:hint="eastAsia" w:ascii="黑体" w:hAnsi="黑体" w:eastAsia="黑体"/>
          <w:color w:val="000000"/>
        </w:rPr>
        <w:t>隐患问题整改</w:t>
      </w:r>
      <w:r>
        <w:rPr>
          <w:rFonts w:hint="eastAsia" w:ascii="黑体" w:hAnsi="黑体" w:eastAsia="黑体"/>
        </w:rPr>
        <w:t>表</w:t>
      </w:r>
    </w:p>
    <w:tbl>
      <w:tblPr>
        <w:tblStyle w:val="27"/>
        <w:tblW w:w="4910" w:type="pct"/>
        <w:tblInd w:w="0" w:type="dxa"/>
        <w:shd w:val="clear" w:color="auto" w:fill="FFFFFF"/>
        <w:tblLayout w:type="autofit"/>
        <w:tblCellMar>
          <w:top w:w="15" w:type="dxa"/>
          <w:left w:w="15" w:type="dxa"/>
          <w:bottom w:w="15" w:type="dxa"/>
          <w:right w:w="15" w:type="dxa"/>
        </w:tblCellMar>
      </w:tblPr>
      <w:tblGrid>
        <w:gridCol w:w="754"/>
        <w:gridCol w:w="2009"/>
        <w:gridCol w:w="1329"/>
        <w:gridCol w:w="1333"/>
        <w:gridCol w:w="1329"/>
        <w:gridCol w:w="1329"/>
        <w:gridCol w:w="1260"/>
      </w:tblGrid>
      <w:tr w14:paraId="0E0DC837">
        <w:tblPrEx>
          <w:shd w:val="clear" w:color="auto" w:fill="FFFFFF"/>
          <w:tblCellMar>
            <w:top w:w="15" w:type="dxa"/>
            <w:left w:w="15" w:type="dxa"/>
            <w:bottom w:w="15" w:type="dxa"/>
            <w:right w:w="15" w:type="dxa"/>
          </w:tblCellMar>
        </w:tblPrEx>
        <w:trPr>
          <w:trHeight w:val="264" w:hRule="atLeast"/>
        </w:trPr>
        <w:tc>
          <w:tcPr>
            <w:tcW w:w="1479" w:type="pct"/>
            <w:gridSpan w:val="2"/>
            <w:tcBorders>
              <w:top w:val="single" w:color="auto" w:sz="4" w:space="0"/>
              <w:left w:val="single" w:color="auto" w:sz="4" w:space="0"/>
              <w:bottom w:val="single" w:color="auto" w:sz="4" w:space="0"/>
              <w:right w:val="single" w:color="auto" w:sz="4" w:space="0"/>
            </w:tcBorders>
            <w:shd w:val="clear" w:color="auto" w:fill="FFFFFF"/>
            <w:tcMar>
              <w:top w:w="60" w:type="dxa"/>
              <w:left w:w="80" w:type="dxa"/>
              <w:bottom w:w="60" w:type="dxa"/>
              <w:right w:w="80" w:type="dxa"/>
            </w:tcMar>
            <w:vAlign w:val="center"/>
          </w:tcPr>
          <w:p w14:paraId="7FAF0692">
            <w:pPr>
              <w:jc w:val="center"/>
              <w:textAlignment w:val="center"/>
              <w:rPr>
                <w:rFonts w:ascii="Times New Roman" w:hAnsi="Times New Roman" w:cs="宋体"/>
                <w:bCs/>
                <w:color w:val="000000"/>
                <w:sz w:val="20"/>
                <w:szCs w:val="20"/>
              </w:rPr>
            </w:pPr>
            <w:r>
              <w:rPr>
                <w:rFonts w:hint="eastAsia" w:ascii="Times New Roman" w:hAnsi="Times New Roman" w:cs="宋体"/>
                <w:bCs/>
                <w:color w:val="000000"/>
                <w:sz w:val="20"/>
                <w:szCs w:val="20"/>
              </w:rPr>
              <w:t>评价项目名称</w:t>
            </w:r>
          </w:p>
        </w:tc>
        <w:tc>
          <w:tcPr>
            <w:tcW w:w="3520" w:type="pct"/>
            <w:gridSpan w:val="5"/>
            <w:tcBorders>
              <w:top w:val="single" w:color="auto" w:sz="4" w:space="0"/>
              <w:left w:val="single" w:color="auto" w:sz="4" w:space="0"/>
              <w:bottom w:val="single" w:color="auto" w:sz="4" w:space="0"/>
              <w:right w:val="single" w:color="auto" w:sz="4" w:space="0"/>
            </w:tcBorders>
            <w:shd w:val="clear" w:color="auto" w:fill="FFFFFF"/>
            <w:tcMar>
              <w:top w:w="60" w:type="dxa"/>
              <w:left w:w="80" w:type="dxa"/>
              <w:bottom w:w="60" w:type="dxa"/>
              <w:right w:w="80" w:type="dxa"/>
            </w:tcMar>
            <w:vAlign w:val="center"/>
          </w:tcPr>
          <w:p w14:paraId="7801EC56">
            <w:pPr>
              <w:textAlignment w:val="center"/>
              <w:rPr>
                <w:rFonts w:ascii="Times New Roman" w:hAnsi="Times New Roman" w:cs="宋体"/>
                <w:color w:val="000000"/>
                <w:sz w:val="20"/>
                <w:szCs w:val="20"/>
              </w:rPr>
            </w:pPr>
          </w:p>
        </w:tc>
      </w:tr>
      <w:tr w14:paraId="772F3463">
        <w:tblPrEx>
          <w:shd w:val="clear" w:color="auto" w:fill="FFFFFF"/>
          <w:tblCellMar>
            <w:top w:w="15" w:type="dxa"/>
            <w:left w:w="15" w:type="dxa"/>
            <w:bottom w:w="15" w:type="dxa"/>
            <w:right w:w="15" w:type="dxa"/>
          </w:tblCellMar>
        </w:tblPrEx>
        <w:trPr>
          <w:trHeight w:val="264" w:hRule="atLeast"/>
        </w:trPr>
        <w:tc>
          <w:tcPr>
            <w:tcW w:w="1479" w:type="pct"/>
            <w:gridSpan w:val="2"/>
            <w:tcBorders>
              <w:top w:val="single" w:color="auto" w:sz="4" w:space="0"/>
              <w:left w:val="single" w:color="auto" w:sz="4" w:space="0"/>
              <w:bottom w:val="single" w:color="auto" w:sz="4" w:space="0"/>
              <w:right w:val="single" w:color="auto" w:sz="4" w:space="0"/>
            </w:tcBorders>
            <w:shd w:val="clear" w:color="auto" w:fill="FFFFFF"/>
            <w:tcMar>
              <w:top w:w="60" w:type="dxa"/>
              <w:left w:w="80" w:type="dxa"/>
              <w:bottom w:w="60" w:type="dxa"/>
              <w:right w:w="80" w:type="dxa"/>
            </w:tcMar>
            <w:vAlign w:val="center"/>
          </w:tcPr>
          <w:p w14:paraId="01BF4CE9">
            <w:pPr>
              <w:jc w:val="center"/>
              <w:textAlignment w:val="center"/>
              <w:rPr>
                <w:rFonts w:ascii="Times New Roman" w:hAnsi="Times New Roman" w:cs="宋体"/>
                <w:bCs/>
                <w:color w:val="000000"/>
                <w:sz w:val="20"/>
                <w:szCs w:val="20"/>
              </w:rPr>
            </w:pPr>
            <w:r>
              <w:rPr>
                <w:rFonts w:hint="eastAsia" w:ascii="Times New Roman" w:hAnsi="Times New Roman" w:cs="宋体"/>
                <w:bCs/>
                <w:color w:val="000000"/>
                <w:sz w:val="20"/>
                <w:szCs w:val="20"/>
              </w:rPr>
              <w:t>被评价企业名称</w:t>
            </w:r>
          </w:p>
        </w:tc>
        <w:tc>
          <w:tcPr>
            <w:tcW w:w="3520" w:type="pct"/>
            <w:gridSpan w:val="5"/>
            <w:tcBorders>
              <w:top w:val="single" w:color="auto" w:sz="4" w:space="0"/>
              <w:left w:val="single" w:color="auto" w:sz="4" w:space="0"/>
              <w:bottom w:val="single" w:color="auto" w:sz="4" w:space="0"/>
              <w:right w:val="single" w:color="auto" w:sz="4" w:space="0"/>
            </w:tcBorders>
            <w:shd w:val="clear" w:color="auto" w:fill="FFFFFF"/>
            <w:tcMar>
              <w:top w:w="60" w:type="dxa"/>
              <w:left w:w="80" w:type="dxa"/>
              <w:bottom w:w="60" w:type="dxa"/>
              <w:right w:w="80" w:type="dxa"/>
            </w:tcMar>
            <w:vAlign w:val="center"/>
          </w:tcPr>
          <w:p w14:paraId="23170606">
            <w:pPr>
              <w:textAlignment w:val="center"/>
              <w:rPr>
                <w:rFonts w:ascii="Times New Roman" w:hAnsi="Times New Roman" w:cs="宋体"/>
                <w:color w:val="000000"/>
                <w:sz w:val="20"/>
                <w:szCs w:val="20"/>
              </w:rPr>
            </w:pPr>
          </w:p>
        </w:tc>
      </w:tr>
      <w:tr w14:paraId="1B39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9" w:hRule="atLeast"/>
        </w:trPr>
        <w:tc>
          <w:tcPr>
            <w:tcW w:w="404" w:type="pct"/>
            <w:tcBorders>
              <w:top w:val="single" w:color="auto" w:sz="4" w:space="0"/>
            </w:tcBorders>
            <w:shd w:val="clear" w:color="auto" w:fill="auto"/>
          </w:tcPr>
          <w:p w14:paraId="15379F5B">
            <w:pPr>
              <w:widowControl/>
              <w:jc w:val="center"/>
              <w:rPr>
                <w:rFonts w:ascii="Times New Roman" w:hAnsi="Times New Roman"/>
                <w:kern w:val="0"/>
              </w:rPr>
            </w:pPr>
            <w:r>
              <w:rPr>
                <w:rFonts w:hint="eastAsia" w:ascii="Times New Roman" w:hAnsi="Times New Roman"/>
                <w:kern w:val="0"/>
              </w:rPr>
              <w:t>序号</w:t>
            </w:r>
          </w:p>
        </w:tc>
        <w:tc>
          <w:tcPr>
            <w:tcW w:w="1075" w:type="pct"/>
            <w:tcBorders>
              <w:top w:val="single" w:color="auto" w:sz="4" w:space="0"/>
            </w:tcBorders>
            <w:shd w:val="clear" w:color="auto" w:fill="auto"/>
          </w:tcPr>
          <w:p w14:paraId="79DF7FC5">
            <w:pPr>
              <w:widowControl/>
              <w:jc w:val="center"/>
              <w:rPr>
                <w:rFonts w:ascii="Times New Roman" w:hAnsi="Times New Roman"/>
                <w:kern w:val="0"/>
              </w:rPr>
            </w:pPr>
            <w:r>
              <w:rPr>
                <w:rFonts w:hint="eastAsia" w:ascii="Times New Roman" w:hAnsi="Times New Roman"/>
                <w:kern w:val="0"/>
              </w:rPr>
              <w:t>问题隐患描述</w:t>
            </w:r>
          </w:p>
        </w:tc>
        <w:tc>
          <w:tcPr>
            <w:tcW w:w="711" w:type="pct"/>
            <w:tcBorders>
              <w:top w:val="single" w:color="auto" w:sz="4" w:space="0"/>
            </w:tcBorders>
            <w:shd w:val="clear" w:color="auto" w:fill="auto"/>
          </w:tcPr>
          <w:p w14:paraId="27A336C1">
            <w:pPr>
              <w:widowControl/>
              <w:jc w:val="center"/>
              <w:rPr>
                <w:rFonts w:ascii="Times New Roman" w:hAnsi="Times New Roman"/>
                <w:kern w:val="0"/>
              </w:rPr>
            </w:pPr>
            <w:r>
              <w:rPr>
                <w:rFonts w:hint="eastAsia" w:ascii="Times New Roman" w:hAnsi="Times New Roman"/>
                <w:kern w:val="0"/>
              </w:rPr>
              <w:t>发现时间</w:t>
            </w:r>
          </w:p>
        </w:tc>
        <w:tc>
          <w:tcPr>
            <w:tcW w:w="713" w:type="pct"/>
            <w:tcBorders>
              <w:top w:val="single" w:color="auto" w:sz="4" w:space="0"/>
            </w:tcBorders>
            <w:shd w:val="clear" w:color="auto" w:fill="auto"/>
          </w:tcPr>
          <w:p w14:paraId="6C7C2C0A">
            <w:pPr>
              <w:widowControl/>
              <w:jc w:val="center"/>
              <w:rPr>
                <w:rFonts w:ascii="Times New Roman" w:hAnsi="Times New Roman"/>
                <w:kern w:val="0"/>
              </w:rPr>
            </w:pPr>
            <w:r>
              <w:rPr>
                <w:rFonts w:hint="eastAsia" w:ascii="Times New Roman" w:hAnsi="Times New Roman"/>
                <w:kern w:val="0"/>
              </w:rPr>
              <w:t>整改情况</w:t>
            </w:r>
          </w:p>
        </w:tc>
        <w:tc>
          <w:tcPr>
            <w:tcW w:w="711" w:type="pct"/>
            <w:tcBorders>
              <w:top w:val="single" w:color="auto" w:sz="4" w:space="0"/>
            </w:tcBorders>
            <w:shd w:val="clear" w:color="auto" w:fill="auto"/>
          </w:tcPr>
          <w:p w14:paraId="350C3E2D">
            <w:pPr>
              <w:widowControl/>
              <w:jc w:val="center"/>
              <w:rPr>
                <w:rFonts w:ascii="Times New Roman" w:hAnsi="Times New Roman"/>
                <w:kern w:val="0"/>
              </w:rPr>
            </w:pPr>
            <w:r>
              <w:rPr>
                <w:rFonts w:hint="eastAsia" w:ascii="Times New Roman" w:hAnsi="Times New Roman"/>
                <w:kern w:val="0"/>
              </w:rPr>
              <w:t>整改时间</w:t>
            </w:r>
          </w:p>
        </w:tc>
        <w:tc>
          <w:tcPr>
            <w:tcW w:w="711" w:type="pct"/>
            <w:tcBorders>
              <w:top w:val="single" w:color="auto" w:sz="4" w:space="0"/>
            </w:tcBorders>
            <w:shd w:val="clear" w:color="auto" w:fill="auto"/>
          </w:tcPr>
          <w:p w14:paraId="7C1775A4">
            <w:pPr>
              <w:widowControl/>
              <w:jc w:val="center"/>
              <w:rPr>
                <w:rFonts w:ascii="Times New Roman" w:hAnsi="Times New Roman"/>
                <w:kern w:val="0"/>
              </w:rPr>
            </w:pPr>
            <w:r>
              <w:rPr>
                <w:rFonts w:hint="eastAsia" w:ascii="Times New Roman" w:hAnsi="Times New Roman"/>
                <w:kern w:val="0"/>
              </w:rPr>
              <w:t>复查人员</w:t>
            </w:r>
          </w:p>
        </w:tc>
        <w:tc>
          <w:tcPr>
            <w:tcW w:w="673" w:type="pct"/>
            <w:tcBorders>
              <w:top w:val="single" w:color="auto" w:sz="4" w:space="0"/>
            </w:tcBorders>
            <w:shd w:val="clear" w:color="auto" w:fill="auto"/>
          </w:tcPr>
          <w:p w14:paraId="2ED18EB8">
            <w:pPr>
              <w:widowControl/>
              <w:jc w:val="center"/>
              <w:rPr>
                <w:rFonts w:ascii="Times New Roman" w:hAnsi="Times New Roman"/>
                <w:kern w:val="0"/>
              </w:rPr>
            </w:pPr>
            <w:r>
              <w:rPr>
                <w:rFonts w:hint="eastAsia" w:ascii="Times New Roman" w:hAnsi="Times New Roman"/>
                <w:kern w:val="0"/>
              </w:rPr>
              <w:t>复审时间</w:t>
            </w:r>
          </w:p>
        </w:tc>
      </w:tr>
      <w:tr w14:paraId="5864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trPr>
        <w:tc>
          <w:tcPr>
            <w:tcW w:w="404" w:type="pct"/>
            <w:shd w:val="clear" w:color="auto" w:fill="auto"/>
          </w:tcPr>
          <w:p w14:paraId="15A6C0E8">
            <w:pPr>
              <w:widowControl/>
              <w:jc w:val="center"/>
              <w:rPr>
                <w:rFonts w:ascii="Times New Roman" w:hAnsi="Times New Roman"/>
                <w:kern w:val="0"/>
              </w:rPr>
            </w:pPr>
            <w:r>
              <w:rPr>
                <w:rFonts w:hint="eastAsia" w:ascii="Times New Roman" w:hAnsi="Times New Roman"/>
                <w:kern w:val="0"/>
              </w:rPr>
              <w:t>1</w:t>
            </w:r>
          </w:p>
        </w:tc>
        <w:tc>
          <w:tcPr>
            <w:tcW w:w="1075" w:type="pct"/>
            <w:shd w:val="clear" w:color="auto" w:fill="auto"/>
          </w:tcPr>
          <w:p w14:paraId="55C3948F">
            <w:pPr>
              <w:widowControl/>
              <w:rPr>
                <w:rFonts w:ascii="Times New Roman" w:hAnsi="Times New Roman"/>
                <w:kern w:val="0"/>
              </w:rPr>
            </w:pPr>
          </w:p>
        </w:tc>
        <w:tc>
          <w:tcPr>
            <w:tcW w:w="711" w:type="pct"/>
            <w:shd w:val="clear" w:color="auto" w:fill="auto"/>
          </w:tcPr>
          <w:p w14:paraId="58AADE4C">
            <w:pPr>
              <w:widowControl/>
              <w:rPr>
                <w:rFonts w:ascii="Times New Roman" w:hAnsi="Times New Roman"/>
                <w:kern w:val="0"/>
              </w:rPr>
            </w:pPr>
          </w:p>
        </w:tc>
        <w:tc>
          <w:tcPr>
            <w:tcW w:w="713" w:type="pct"/>
            <w:shd w:val="clear" w:color="auto" w:fill="auto"/>
          </w:tcPr>
          <w:p w14:paraId="48D96EA3">
            <w:pPr>
              <w:widowControl/>
              <w:rPr>
                <w:rFonts w:ascii="Times New Roman" w:hAnsi="Times New Roman"/>
                <w:kern w:val="0"/>
              </w:rPr>
            </w:pPr>
          </w:p>
        </w:tc>
        <w:tc>
          <w:tcPr>
            <w:tcW w:w="711" w:type="pct"/>
            <w:shd w:val="clear" w:color="auto" w:fill="auto"/>
          </w:tcPr>
          <w:p w14:paraId="0ADA7F60">
            <w:pPr>
              <w:widowControl/>
              <w:rPr>
                <w:rFonts w:ascii="Times New Roman" w:hAnsi="Times New Roman"/>
                <w:kern w:val="0"/>
              </w:rPr>
            </w:pPr>
          </w:p>
        </w:tc>
        <w:tc>
          <w:tcPr>
            <w:tcW w:w="711" w:type="pct"/>
            <w:shd w:val="clear" w:color="auto" w:fill="auto"/>
          </w:tcPr>
          <w:p w14:paraId="4B1225E6">
            <w:pPr>
              <w:widowControl/>
              <w:rPr>
                <w:rFonts w:ascii="Times New Roman" w:hAnsi="Times New Roman"/>
                <w:kern w:val="0"/>
              </w:rPr>
            </w:pPr>
          </w:p>
        </w:tc>
        <w:tc>
          <w:tcPr>
            <w:tcW w:w="673" w:type="pct"/>
            <w:shd w:val="clear" w:color="auto" w:fill="auto"/>
          </w:tcPr>
          <w:p w14:paraId="543DC8E5">
            <w:pPr>
              <w:widowControl/>
              <w:rPr>
                <w:rFonts w:ascii="Times New Roman" w:hAnsi="Times New Roman"/>
                <w:kern w:val="0"/>
              </w:rPr>
            </w:pPr>
          </w:p>
        </w:tc>
      </w:tr>
      <w:tr w14:paraId="16B7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0A3D41ED">
            <w:pPr>
              <w:widowControl/>
              <w:jc w:val="center"/>
              <w:rPr>
                <w:rFonts w:ascii="Times New Roman" w:hAnsi="Times New Roman"/>
                <w:kern w:val="0"/>
              </w:rPr>
            </w:pPr>
            <w:r>
              <w:rPr>
                <w:rFonts w:hint="eastAsia" w:ascii="Times New Roman" w:hAnsi="Times New Roman"/>
                <w:kern w:val="0"/>
              </w:rPr>
              <w:t>2</w:t>
            </w:r>
          </w:p>
        </w:tc>
        <w:tc>
          <w:tcPr>
            <w:tcW w:w="1075" w:type="pct"/>
            <w:shd w:val="clear" w:color="auto" w:fill="auto"/>
          </w:tcPr>
          <w:p w14:paraId="32865245">
            <w:pPr>
              <w:widowControl/>
              <w:rPr>
                <w:rFonts w:ascii="Times New Roman" w:hAnsi="Times New Roman"/>
                <w:kern w:val="0"/>
              </w:rPr>
            </w:pPr>
          </w:p>
        </w:tc>
        <w:tc>
          <w:tcPr>
            <w:tcW w:w="711" w:type="pct"/>
            <w:shd w:val="clear" w:color="auto" w:fill="auto"/>
          </w:tcPr>
          <w:p w14:paraId="7F1BC699">
            <w:pPr>
              <w:widowControl/>
              <w:rPr>
                <w:rFonts w:ascii="Times New Roman" w:hAnsi="Times New Roman"/>
                <w:kern w:val="0"/>
              </w:rPr>
            </w:pPr>
          </w:p>
        </w:tc>
        <w:tc>
          <w:tcPr>
            <w:tcW w:w="713" w:type="pct"/>
            <w:shd w:val="clear" w:color="auto" w:fill="auto"/>
          </w:tcPr>
          <w:p w14:paraId="5610F65A">
            <w:pPr>
              <w:widowControl/>
              <w:rPr>
                <w:rFonts w:ascii="Times New Roman" w:hAnsi="Times New Roman"/>
                <w:kern w:val="0"/>
              </w:rPr>
            </w:pPr>
          </w:p>
        </w:tc>
        <w:tc>
          <w:tcPr>
            <w:tcW w:w="711" w:type="pct"/>
            <w:shd w:val="clear" w:color="auto" w:fill="auto"/>
          </w:tcPr>
          <w:p w14:paraId="10379A63">
            <w:pPr>
              <w:widowControl/>
              <w:rPr>
                <w:rFonts w:ascii="Times New Roman" w:hAnsi="Times New Roman"/>
                <w:kern w:val="0"/>
              </w:rPr>
            </w:pPr>
          </w:p>
        </w:tc>
        <w:tc>
          <w:tcPr>
            <w:tcW w:w="711" w:type="pct"/>
            <w:shd w:val="clear" w:color="auto" w:fill="auto"/>
          </w:tcPr>
          <w:p w14:paraId="050872A0">
            <w:pPr>
              <w:widowControl/>
              <w:rPr>
                <w:rFonts w:ascii="Times New Roman" w:hAnsi="Times New Roman"/>
                <w:kern w:val="0"/>
              </w:rPr>
            </w:pPr>
          </w:p>
        </w:tc>
        <w:tc>
          <w:tcPr>
            <w:tcW w:w="673" w:type="pct"/>
            <w:shd w:val="clear" w:color="auto" w:fill="auto"/>
          </w:tcPr>
          <w:p w14:paraId="5606A9C1">
            <w:pPr>
              <w:widowControl/>
              <w:rPr>
                <w:rFonts w:ascii="Times New Roman" w:hAnsi="Times New Roman"/>
                <w:kern w:val="0"/>
              </w:rPr>
            </w:pPr>
          </w:p>
        </w:tc>
      </w:tr>
      <w:tr w14:paraId="59FD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6772B9C2">
            <w:pPr>
              <w:widowControl/>
              <w:jc w:val="center"/>
              <w:rPr>
                <w:rFonts w:ascii="Times New Roman" w:hAnsi="Times New Roman"/>
                <w:kern w:val="0"/>
              </w:rPr>
            </w:pPr>
            <w:r>
              <w:rPr>
                <w:rFonts w:hint="eastAsia" w:ascii="Times New Roman" w:hAnsi="Times New Roman"/>
                <w:kern w:val="0"/>
              </w:rPr>
              <w:t>3</w:t>
            </w:r>
          </w:p>
        </w:tc>
        <w:tc>
          <w:tcPr>
            <w:tcW w:w="1075" w:type="pct"/>
            <w:shd w:val="clear" w:color="auto" w:fill="auto"/>
          </w:tcPr>
          <w:p w14:paraId="484761B5">
            <w:pPr>
              <w:widowControl/>
              <w:rPr>
                <w:rFonts w:ascii="Times New Roman" w:hAnsi="Times New Roman"/>
                <w:kern w:val="0"/>
              </w:rPr>
            </w:pPr>
          </w:p>
        </w:tc>
        <w:tc>
          <w:tcPr>
            <w:tcW w:w="711" w:type="pct"/>
            <w:shd w:val="clear" w:color="auto" w:fill="auto"/>
          </w:tcPr>
          <w:p w14:paraId="3402E96D">
            <w:pPr>
              <w:widowControl/>
              <w:rPr>
                <w:rFonts w:ascii="Times New Roman" w:hAnsi="Times New Roman"/>
                <w:kern w:val="0"/>
              </w:rPr>
            </w:pPr>
          </w:p>
        </w:tc>
        <w:tc>
          <w:tcPr>
            <w:tcW w:w="713" w:type="pct"/>
            <w:shd w:val="clear" w:color="auto" w:fill="auto"/>
          </w:tcPr>
          <w:p w14:paraId="374730F5">
            <w:pPr>
              <w:widowControl/>
              <w:rPr>
                <w:rFonts w:ascii="Times New Roman" w:hAnsi="Times New Roman"/>
                <w:kern w:val="0"/>
              </w:rPr>
            </w:pPr>
          </w:p>
        </w:tc>
        <w:tc>
          <w:tcPr>
            <w:tcW w:w="711" w:type="pct"/>
            <w:shd w:val="clear" w:color="auto" w:fill="auto"/>
          </w:tcPr>
          <w:p w14:paraId="6E29C938">
            <w:pPr>
              <w:widowControl/>
              <w:rPr>
                <w:rFonts w:ascii="Times New Roman" w:hAnsi="Times New Roman"/>
                <w:kern w:val="0"/>
              </w:rPr>
            </w:pPr>
          </w:p>
        </w:tc>
        <w:tc>
          <w:tcPr>
            <w:tcW w:w="711" w:type="pct"/>
            <w:shd w:val="clear" w:color="auto" w:fill="auto"/>
          </w:tcPr>
          <w:p w14:paraId="33D751C9">
            <w:pPr>
              <w:widowControl/>
              <w:rPr>
                <w:rFonts w:ascii="Times New Roman" w:hAnsi="Times New Roman"/>
                <w:kern w:val="0"/>
              </w:rPr>
            </w:pPr>
          </w:p>
        </w:tc>
        <w:tc>
          <w:tcPr>
            <w:tcW w:w="673" w:type="pct"/>
            <w:shd w:val="clear" w:color="auto" w:fill="auto"/>
          </w:tcPr>
          <w:p w14:paraId="5A5C63D1">
            <w:pPr>
              <w:widowControl/>
              <w:rPr>
                <w:rFonts w:ascii="Times New Roman" w:hAnsi="Times New Roman"/>
                <w:kern w:val="0"/>
              </w:rPr>
            </w:pPr>
          </w:p>
        </w:tc>
      </w:tr>
      <w:tr w14:paraId="3B2B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66F03B26">
            <w:pPr>
              <w:widowControl/>
              <w:jc w:val="center"/>
              <w:rPr>
                <w:rFonts w:ascii="Times New Roman" w:hAnsi="Times New Roman"/>
                <w:kern w:val="0"/>
              </w:rPr>
            </w:pPr>
            <w:r>
              <w:rPr>
                <w:rFonts w:hint="eastAsia" w:ascii="Times New Roman" w:hAnsi="Times New Roman"/>
                <w:kern w:val="0"/>
              </w:rPr>
              <w:t>4</w:t>
            </w:r>
          </w:p>
        </w:tc>
        <w:tc>
          <w:tcPr>
            <w:tcW w:w="1075" w:type="pct"/>
            <w:shd w:val="clear" w:color="auto" w:fill="auto"/>
          </w:tcPr>
          <w:p w14:paraId="44B698EA">
            <w:pPr>
              <w:widowControl/>
              <w:rPr>
                <w:rFonts w:ascii="Times New Roman" w:hAnsi="Times New Roman"/>
                <w:kern w:val="0"/>
              </w:rPr>
            </w:pPr>
          </w:p>
        </w:tc>
        <w:tc>
          <w:tcPr>
            <w:tcW w:w="711" w:type="pct"/>
            <w:shd w:val="clear" w:color="auto" w:fill="auto"/>
          </w:tcPr>
          <w:p w14:paraId="5679BDE7">
            <w:pPr>
              <w:widowControl/>
              <w:rPr>
                <w:rFonts w:ascii="Times New Roman" w:hAnsi="Times New Roman"/>
                <w:kern w:val="0"/>
              </w:rPr>
            </w:pPr>
          </w:p>
        </w:tc>
        <w:tc>
          <w:tcPr>
            <w:tcW w:w="713" w:type="pct"/>
            <w:shd w:val="clear" w:color="auto" w:fill="auto"/>
          </w:tcPr>
          <w:p w14:paraId="7E486B32">
            <w:pPr>
              <w:widowControl/>
              <w:rPr>
                <w:rFonts w:ascii="Times New Roman" w:hAnsi="Times New Roman"/>
                <w:kern w:val="0"/>
              </w:rPr>
            </w:pPr>
          </w:p>
        </w:tc>
        <w:tc>
          <w:tcPr>
            <w:tcW w:w="711" w:type="pct"/>
            <w:shd w:val="clear" w:color="auto" w:fill="auto"/>
          </w:tcPr>
          <w:p w14:paraId="2E1F8B63">
            <w:pPr>
              <w:widowControl/>
              <w:rPr>
                <w:rFonts w:ascii="Times New Roman" w:hAnsi="Times New Roman"/>
                <w:kern w:val="0"/>
              </w:rPr>
            </w:pPr>
          </w:p>
        </w:tc>
        <w:tc>
          <w:tcPr>
            <w:tcW w:w="711" w:type="pct"/>
            <w:shd w:val="clear" w:color="auto" w:fill="auto"/>
          </w:tcPr>
          <w:p w14:paraId="3C32C5DD">
            <w:pPr>
              <w:widowControl/>
              <w:rPr>
                <w:rFonts w:ascii="Times New Roman" w:hAnsi="Times New Roman"/>
                <w:kern w:val="0"/>
              </w:rPr>
            </w:pPr>
          </w:p>
        </w:tc>
        <w:tc>
          <w:tcPr>
            <w:tcW w:w="673" w:type="pct"/>
            <w:shd w:val="clear" w:color="auto" w:fill="auto"/>
          </w:tcPr>
          <w:p w14:paraId="4EFEC4A1">
            <w:pPr>
              <w:widowControl/>
              <w:rPr>
                <w:rFonts w:ascii="Times New Roman" w:hAnsi="Times New Roman"/>
                <w:kern w:val="0"/>
              </w:rPr>
            </w:pPr>
          </w:p>
        </w:tc>
      </w:tr>
      <w:tr w14:paraId="1C2A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62EB9F82">
            <w:pPr>
              <w:widowControl/>
              <w:jc w:val="center"/>
              <w:rPr>
                <w:rFonts w:ascii="Times New Roman" w:hAnsi="Times New Roman"/>
                <w:kern w:val="0"/>
              </w:rPr>
            </w:pPr>
            <w:r>
              <w:rPr>
                <w:rFonts w:hint="eastAsia" w:ascii="Times New Roman" w:hAnsi="Times New Roman"/>
                <w:kern w:val="0"/>
              </w:rPr>
              <w:t>5</w:t>
            </w:r>
          </w:p>
        </w:tc>
        <w:tc>
          <w:tcPr>
            <w:tcW w:w="1075" w:type="pct"/>
            <w:shd w:val="clear" w:color="auto" w:fill="auto"/>
          </w:tcPr>
          <w:p w14:paraId="7E3557E1">
            <w:pPr>
              <w:widowControl/>
              <w:rPr>
                <w:rFonts w:ascii="Times New Roman" w:hAnsi="Times New Roman"/>
                <w:kern w:val="0"/>
              </w:rPr>
            </w:pPr>
          </w:p>
        </w:tc>
        <w:tc>
          <w:tcPr>
            <w:tcW w:w="711" w:type="pct"/>
            <w:shd w:val="clear" w:color="auto" w:fill="auto"/>
          </w:tcPr>
          <w:p w14:paraId="1F8179D1">
            <w:pPr>
              <w:widowControl/>
              <w:rPr>
                <w:rFonts w:ascii="Times New Roman" w:hAnsi="Times New Roman"/>
                <w:kern w:val="0"/>
              </w:rPr>
            </w:pPr>
          </w:p>
        </w:tc>
        <w:tc>
          <w:tcPr>
            <w:tcW w:w="713" w:type="pct"/>
            <w:shd w:val="clear" w:color="auto" w:fill="auto"/>
          </w:tcPr>
          <w:p w14:paraId="527B28C5">
            <w:pPr>
              <w:widowControl/>
              <w:rPr>
                <w:rFonts w:ascii="Times New Roman" w:hAnsi="Times New Roman"/>
                <w:kern w:val="0"/>
              </w:rPr>
            </w:pPr>
          </w:p>
        </w:tc>
        <w:tc>
          <w:tcPr>
            <w:tcW w:w="711" w:type="pct"/>
            <w:shd w:val="clear" w:color="auto" w:fill="auto"/>
          </w:tcPr>
          <w:p w14:paraId="1F52DF2D">
            <w:pPr>
              <w:widowControl/>
              <w:rPr>
                <w:rFonts w:ascii="Times New Roman" w:hAnsi="Times New Roman"/>
                <w:kern w:val="0"/>
              </w:rPr>
            </w:pPr>
          </w:p>
        </w:tc>
        <w:tc>
          <w:tcPr>
            <w:tcW w:w="711" w:type="pct"/>
            <w:shd w:val="clear" w:color="auto" w:fill="auto"/>
          </w:tcPr>
          <w:p w14:paraId="6601893A">
            <w:pPr>
              <w:widowControl/>
              <w:rPr>
                <w:rFonts w:ascii="Times New Roman" w:hAnsi="Times New Roman"/>
                <w:kern w:val="0"/>
              </w:rPr>
            </w:pPr>
          </w:p>
        </w:tc>
        <w:tc>
          <w:tcPr>
            <w:tcW w:w="673" w:type="pct"/>
            <w:shd w:val="clear" w:color="auto" w:fill="auto"/>
          </w:tcPr>
          <w:p w14:paraId="215E7ADD">
            <w:pPr>
              <w:widowControl/>
              <w:rPr>
                <w:rFonts w:ascii="Times New Roman" w:hAnsi="Times New Roman"/>
                <w:kern w:val="0"/>
              </w:rPr>
            </w:pPr>
          </w:p>
        </w:tc>
      </w:tr>
      <w:tr w14:paraId="6033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6BACE653">
            <w:pPr>
              <w:widowControl/>
              <w:jc w:val="center"/>
              <w:rPr>
                <w:rFonts w:ascii="Times New Roman" w:hAnsi="Times New Roman"/>
                <w:kern w:val="0"/>
              </w:rPr>
            </w:pPr>
            <w:r>
              <w:rPr>
                <w:rFonts w:hint="eastAsia" w:ascii="Times New Roman" w:hAnsi="Times New Roman"/>
                <w:kern w:val="0"/>
              </w:rPr>
              <w:t>6</w:t>
            </w:r>
          </w:p>
        </w:tc>
        <w:tc>
          <w:tcPr>
            <w:tcW w:w="1075" w:type="pct"/>
            <w:shd w:val="clear" w:color="auto" w:fill="auto"/>
          </w:tcPr>
          <w:p w14:paraId="4FB9D7E8">
            <w:pPr>
              <w:widowControl/>
              <w:rPr>
                <w:rFonts w:ascii="Times New Roman" w:hAnsi="Times New Roman"/>
                <w:kern w:val="0"/>
              </w:rPr>
            </w:pPr>
          </w:p>
        </w:tc>
        <w:tc>
          <w:tcPr>
            <w:tcW w:w="711" w:type="pct"/>
            <w:shd w:val="clear" w:color="auto" w:fill="auto"/>
          </w:tcPr>
          <w:p w14:paraId="2328D99B">
            <w:pPr>
              <w:widowControl/>
              <w:rPr>
                <w:rFonts w:ascii="Times New Roman" w:hAnsi="Times New Roman"/>
                <w:kern w:val="0"/>
              </w:rPr>
            </w:pPr>
          </w:p>
        </w:tc>
        <w:tc>
          <w:tcPr>
            <w:tcW w:w="713" w:type="pct"/>
            <w:shd w:val="clear" w:color="auto" w:fill="auto"/>
          </w:tcPr>
          <w:p w14:paraId="341E60D2">
            <w:pPr>
              <w:widowControl/>
              <w:rPr>
                <w:rFonts w:ascii="Times New Roman" w:hAnsi="Times New Roman"/>
                <w:kern w:val="0"/>
              </w:rPr>
            </w:pPr>
          </w:p>
        </w:tc>
        <w:tc>
          <w:tcPr>
            <w:tcW w:w="711" w:type="pct"/>
            <w:shd w:val="clear" w:color="auto" w:fill="auto"/>
          </w:tcPr>
          <w:p w14:paraId="1B46785B">
            <w:pPr>
              <w:widowControl/>
              <w:rPr>
                <w:rFonts w:ascii="Times New Roman" w:hAnsi="Times New Roman"/>
                <w:kern w:val="0"/>
              </w:rPr>
            </w:pPr>
          </w:p>
        </w:tc>
        <w:tc>
          <w:tcPr>
            <w:tcW w:w="711" w:type="pct"/>
            <w:shd w:val="clear" w:color="auto" w:fill="auto"/>
          </w:tcPr>
          <w:p w14:paraId="2ADB3C8C">
            <w:pPr>
              <w:widowControl/>
              <w:rPr>
                <w:rFonts w:ascii="Times New Roman" w:hAnsi="Times New Roman"/>
                <w:kern w:val="0"/>
              </w:rPr>
            </w:pPr>
          </w:p>
        </w:tc>
        <w:tc>
          <w:tcPr>
            <w:tcW w:w="673" w:type="pct"/>
            <w:shd w:val="clear" w:color="auto" w:fill="auto"/>
          </w:tcPr>
          <w:p w14:paraId="0B973056">
            <w:pPr>
              <w:widowControl/>
              <w:rPr>
                <w:rFonts w:ascii="Times New Roman" w:hAnsi="Times New Roman"/>
                <w:kern w:val="0"/>
              </w:rPr>
            </w:pPr>
          </w:p>
        </w:tc>
      </w:tr>
      <w:tr w14:paraId="0554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5BE24FAA">
            <w:pPr>
              <w:widowControl/>
              <w:jc w:val="center"/>
              <w:rPr>
                <w:rFonts w:ascii="Times New Roman" w:hAnsi="Times New Roman"/>
                <w:kern w:val="0"/>
              </w:rPr>
            </w:pPr>
            <w:r>
              <w:rPr>
                <w:rFonts w:hint="eastAsia" w:ascii="Times New Roman" w:hAnsi="Times New Roman"/>
                <w:kern w:val="0"/>
              </w:rPr>
              <w:t>7</w:t>
            </w:r>
          </w:p>
        </w:tc>
        <w:tc>
          <w:tcPr>
            <w:tcW w:w="1075" w:type="pct"/>
            <w:shd w:val="clear" w:color="auto" w:fill="auto"/>
          </w:tcPr>
          <w:p w14:paraId="73E27208">
            <w:pPr>
              <w:widowControl/>
              <w:rPr>
                <w:rFonts w:ascii="Times New Roman" w:hAnsi="Times New Roman"/>
                <w:kern w:val="0"/>
              </w:rPr>
            </w:pPr>
          </w:p>
        </w:tc>
        <w:tc>
          <w:tcPr>
            <w:tcW w:w="711" w:type="pct"/>
            <w:shd w:val="clear" w:color="auto" w:fill="auto"/>
          </w:tcPr>
          <w:p w14:paraId="73F925DA">
            <w:pPr>
              <w:widowControl/>
              <w:rPr>
                <w:rFonts w:ascii="Times New Roman" w:hAnsi="Times New Roman"/>
                <w:kern w:val="0"/>
              </w:rPr>
            </w:pPr>
          </w:p>
        </w:tc>
        <w:tc>
          <w:tcPr>
            <w:tcW w:w="713" w:type="pct"/>
            <w:shd w:val="clear" w:color="auto" w:fill="auto"/>
          </w:tcPr>
          <w:p w14:paraId="2C48A347">
            <w:pPr>
              <w:widowControl/>
              <w:rPr>
                <w:rFonts w:ascii="Times New Roman" w:hAnsi="Times New Roman"/>
                <w:kern w:val="0"/>
              </w:rPr>
            </w:pPr>
          </w:p>
        </w:tc>
        <w:tc>
          <w:tcPr>
            <w:tcW w:w="711" w:type="pct"/>
            <w:shd w:val="clear" w:color="auto" w:fill="auto"/>
          </w:tcPr>
          <w:p w14:paraId="23CA6761">
            <w:pPr>
              <w:widowControl/>
              <w:rPr>
                <w:rFonts w:ascii="Times New Roman" w:hAnsi="Times New Roman"/>
                <w:kern w:val="0"/>
              </w:rPr>
            </w:pPr>
          </w:p>
        </w:tc>
        <w:tc>
          <w:tcPr>
            <w:tcW w:w="711" w:type="pct"/>
            <w:shd w:val="clear" w:color="auto" w:fill="auto"/>
          </w:tcPr>
          <w:p w14:paraId="429378D2">
            <w:pPr>
              <w:widowControl/>
              <w:rPr>
                <w:rFonts w:ascii="Times New Roman" w:hAnsi="Times New Roman"/>
                <w:kern w:val="0"/>
              </w:rPr>
            </w:pPr>
          </w:p>
        </w:tc>
        <w:tc>
          <w:tcPr>
            <w:tcW w:w="673" w:type="pct"/>
            <w:shd w:val="clear" w:color="auto" w:fill="auto"/>
          </w:tcPr>
          <w:p w14:paraId="42BB52E0">
            <w:pPr>
              <w:widowControl/>
              <w:rPr>
                <w:rFonts w:ascii="Times New Roman" w:hAnsi="Times New Roman"/>
                <w:kern w:val="0"/>
              </w:rPr>
            </w:pPr>
          </w:p>
        </w:tc>
      </w:tr>
      <w:tr w14:paraId="58843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0DCFCD9E">
            <w:pPr>
              <w:widowControl/>
              <w:jc w:val="center"/>
              <w:rPr>
                <w:rFonts w:ascii="Times New Roman" w:hAnsi="Times New Roman"/>
                <w:kern w:val="0"/>
              </w:rPr>
            </w:pPr>
            <w:r>
              <w:rPr>
                <w:rFonts w:hint="eastAsia" w:ascii="Times New Roman" w:hAnsi="Times New Roman"/>
                <w:kern w:val="0"/>
              </w:rPr>
              <w:t>8</w:t>
            </w:r>
          </w:p>
        </w:tc>
        <w:tc>
          <w:tcPr>
            <w:tcW w:w="1075" w:type="pct"/>
            <w:shd w:val="clear" w:color="auto" w:fill="auto"/>
          </w:tcPr>
          <w:p w14:paraId="1B09574A">
            <w:pPr>
              <w:widowControl/>
              <w:rPr>
                <w:rFonts w:ascii="Times New Roman" w:hAnsi="Times New Roman"/>
                <w:kern w:val="0"/>
              </w:rPr>
            </w:pPr>
          </w:p>
        </w:tc>
        <w:tc>
          <w:tcPr>
            <w:tcW w:w="711" w:type="pct"/>
            <w:shd w:val="clear" w:color="auto" w:fill="auto"/>
          </w:tcPr>
          <w:p w14:paraId="7B4F0C20">
            <w:pPr>
              <w:widowControl/>
              <w:rPr>
                <w:rFonts w:ascii="Times New Roman" w:hAnsi="Times New Roman"/>
                <w:kern w:val="0"/>
              </w:rPr>
            </w:pPr>
          </w:p>
        </w:tc>
        <w:tc>
          <w:tcPr>
            <w:tcW w:w="713" w:type="pct"/>
            <w:shd w:val="clear" w:color="auto" w:fill="auto"/>
          </w:tcPr>
          <w:p w14:paraId="0AFF7CDC">
            <w:pPr>
              <w:widowControl/>
              <w:rPr>
                <w:rFonts w:ascii="Times New Roman" w:hAnsi="Times New Roman"/>
                <w:kern w:val="0"/>
              </w:rPr>
            </w:pPr>
          </w:p>
        </w:tc>
        <w:tc>
          <w:tcPr>
            <w:tcW w:w="711" w:type="pct"/>
            <w:shd w:val="clear" w:color="auto" w:fill="auto"/>
          </w:tcPr>
          <w:p w14:paraId="5F5D3EF1">
            <w:pPr>
              <w:widowControl/>
              <w:rPr>
                <w:rFonts w:ascii="Times New Roman" w:hAnsi="Times New Roman"/>
                <w:kern w:val="0"/>
              </w:rPr>
            </w:pPr>
          </w:p>
        </w:tc>
        <w:tc>
          <w:tcPr>
            <w:tcW w:w="711" w:type="pct"/>
            <w:shd w:val="clear" w:color="auto" w:fill="auto"/>
          </w:tcPr>
          <w:p w14:paraId="75213D5D">
            <w:pPr>
              <w:widowControl/>
              <w:rPr>
                <w:rFonts w:ascii="Times New Roman" w:hAnsi="Times New Roman"/>
                <w:kern w:val="0"/>
              </w:rPr>
            </w:pPr>
          </w:p>
        </w:tc>
        <w:tc>
          <w:tcPr>
            <w:tcW w:w="673" w:type="pct"/>
            <w:shd w:val="clear" w:color="auto" w:fill="auto"/>
          </w:tcPr>
          <w:p w14:paraId="7F40E5D2">
            <w:pPr>
              <w:widowControl/>
              <w:rPr>
                <w:rFonts w:ascii="Times New Roman" w:hAnsi="Times New Roman"/>
                <w:kern w:val="0"/>
              </w:rPr>
            </w:pPr>
          </w:p>
        </w:tc>
      </w:tr>
      <w:tr w14:paraId="1821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72F5DDB3">
            <w:pPr>
              <w:widowControl/>
              <w:jc w:val="center"/>
              <w:rPr>
                <w:rFonts w:ascii="Times New Roman" w:hAnsi="Times New Roman"/>
                <w:kern w:val="0"/>
              </w:rPr>
            </w:pPr>
            <w:r>
              <w:rPr>
                <w:rFonts w:hint="eastAsia" w:ascii="Times New Roman" w:hAnsi="Times New Roman"/>
                <w:kern w:val="0"/>
              </w:rPr>
              <w:t>9</w:t>
            </w:r>
          </w:p>
        </w:tc>
        <w:tc>
          <w:tcPr>
            <w:tcW w:w="1075" w:type="pct"/>
            <w:shd w:val="clear" w:color="auto" w:fill="auto"/>
          </w:tcPr>
          <w:p w14:paraId="26BD74F1">
            <w:pPr>
              <w:widowControl/>
              <w:rPr>
                <w:rFonts w:ascii="Times New Roman" w:hAnsi="Times New Roman"/>
                <w:kern w:val="0"/>
              </w:rPr>
            </w:pPr>
          </w:p>
        </w:tc>
        <w:tc>
          <w:tcPr>
            <w:tcW w:w="711" w:type="pct"/>
            <w:shd w:val="clear" w:color="auto" w:fill="auto"/>
          </w:tcPr>
          <w:p w14:paraId="4DCBD2EB">
            <w:pPr>
              <w:widowControl/>
              <w:rPr>
                <w:rFonts w:ascii="Times New Roman" w:hAnsi="Times New Roman"/>
                <w:kern w:val="0"/>
              </w:rPr>
            </w:pPr>
          </w:p>
        </w:tc>
        <w:tc>
          <w:tcPr>
            <w:tcW w:w="713" w:type="pct"/>
            <w:shd w:val="clear" w:color="auto" w:fill="auto"/>
          </w:tcPr>
          <w:p w14:paraId="42FF8414">
            <w:pPr>
              <w:widowControl/>
              <w:rPr>
                <w:rFonts w:ascii="Times New Roman" w:hAnsi="Times New Roman"/>
                <w:kern w:val="0"/>
              </w:rPr>
            </w:pPr>
          </w:p>
        </w:tc>
        <w:tc>
          <w:tcPr>
            <w:tcW w:w="711" w:type="pct"/>
            <w:shd w:val="clear" w:color="auto" w:fill="auto"/>
          </w:tcPr>
          <w:p w14:paraId="59C39A52">
            <w:pPr>
              <w:widowControl/>
              <w:rPr>
                <w:rFonts w:ascii="Times New Roman" w:hAnsi="Times New Roman"/>
                <w:kern w:val="0"/>
              </w:rPr>
            </w:pPr>
          </w:p>
        </w:tc>
        <w:tc>
          <w:tcPr>
            <w:tcW w:w="711" w:type="pct"/>
            <w:shd w:val="clear" w:color="auto" w:fill="auto"/>
          </w:tcPr>
          <w:p w14:paraId="7AE11A78">
            <w:pPr>
              <w:widowControl/>
              <w:rPr>
                <w:rFonts w:ascii="Times New Roman" w:hAnsi="Times New Roman"/>
                <w:kern w:val="0"/>
              </w:rPr>
            </w:pPr>
          </w:p>
        </w:tc>
        <w:tc>
          <w:tcPr>
            <w:tcW w:w="673" w:type="pct"/>
            <w:shd w:val="clear" w:color="auto" w:fill="auto"/>
          </w:tcPr>
          <w:p w14:paraId="30522DA4">
            <w:pPr>
              <w:widowControl/>
              <w:rPr>
                <w:rFonts w:ascii="Times New Roman" w:hAnsi="Times New Roman"/>
                <w:kern w:val="0"/>
              </w:rPr>
            </w:pPr>
          </w:p>
        </w:tc>
      </w:tr>
      <w:tr w14:paraId="6D4C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404" w:type="pct"/>
            <w:shd w:val="clear" w:color="auto" w:fill="auto"/>
          </w:tcPr>
          <w:p w14:paraId="36788E04">
            <w:pPr>
              <w:widowControl/>
              <w:jc w:val="center"/>
              <w:rPr>
                <w:rFonts w:ascii="Times New Roman" w:hAnsi="Times New Roman"/>
                <w:kern w:val="0"/>
              </w:rPr>
            </w:pPr>
            <w:r>
              <w:rPr>
                <w:rFonts w:hint="eastAsia" w:ascii="Times New Roman" w:hAnsi="Times New Roman"/>
                <w:kern w:val="0"/>
              </w:rPr>
              <w:t>...</w:t>
            </w:r>
          </w:p>
        </w:tc>
        <w:tc>
          <w:tcPr>
            <w:tcW w:w="1075" w:type="pct"/>
            <w:shd w:val="clear" w:color="auto" w:fill="auto"/>
          </w:tcPr>
          <w:p w14:paraId="48707498">
            <w:pPr>
              <w:widowControl/>
              <w:rPr>
                <w:rFonts w:ascii="Times New Roman" w:hAnsi="Times New Roman"/>
                <w:kern w:val="0"/>
              </w:rPr>
            </w:pPr>
          </w:p>
        </w:tc>
        <w:tc>
          <w:tcPr>
            <w:tcW w:w="711" w:type="pct"/>
            <w:shd w:val="clear" w:color="auto" w:fill="auto"/>
          </w:tcPr>
          <w:p w14:paraId="7763784A">
            <w:pPr>
              <w:widowControl/>
              <w:rPr>
                <w:rFonts w:ascii="Times New Roman" w:hAnsi="Times New Roman"/>
                <w:kern w:val="0"/>
              </w:rPr>
            </w:pPr>
          </w:p>
        </w:tc>
        <w:tc>
          <w:tcPr>
            <w:tcW w:w="713" w:type="pct"/>
            <w:shd w:val="clear" w:color="auto" w:fill="auto"/>
          </w:tcPr>
          <w:p w14:paraId="2388B62D">
            <w:pPr>
              <w:widowControl/>
              <w:rPr>
                <w:rFonts w:ascii="Times New Roman" w:hAnsi="Times New Roman"/>
                <w:kern w:val="0"/>
              </w:rPr>
            </w:pPr>
          </w:p>
        </w:tc>
        <w:tc>
          <w:tcPr>
            <w:tcW w:w="711" w:type="pct"/>
            <w:shd w:val="clear" w:color="auto" w:fill="auto"/>
          </w:tcPr>
          <w:p w14:paraId="324162C2">
            <w:pPr>
              <w:widowControl/>
              <w:rPr>
                <w:rFonts w:ascii="Times New Roman" w:hAnsi="Times New Roman"/>
                <w:kern w:val="0"/>
              </w:rPr>
            </w:pPr>
          </w:p>
        </w:tc>
        <w:tc>
          <w:tcPr>
            <w:tcW w:w="711" w:type="pct"/>
            <w:shd w:val="clear" w:color="auto" w:fill="auto"/>
          </w:tcPr>
          <w:p w14:paraId="35F3BD7F">
            <w:pPr>
              <w:widowControl/>
              <w:rPr>
                <w:rFonts w:ascii="Times New Roman" w:hAnsi="Times New Roman"/>
                <w:kern w:val="0"/>
              </w:rPr>
            </w:pPr>
          </w:p>
        </w:tc>
        <w:tc>
          <w:tcPr>
            <w:tcW w:w="673" w:type="pct"/>
            <w:shd w:val="clear" w:color="auto" w:fill="auto"/>
          </w:tcPr>
          <w:p w14:paraId="22A49980">
            <w:pPr>
              <w:widowControl/>
              <w:rPr>
                <w:rFonts w:ascii="Times New Roman" w:hAnsi="Times New Roman"/>
                <w:kern w:val="0"/>
              </w:rPr>
            </w:pPr>
          </w:p>
        </w:tc>
      </w:tr>
    </w:tbl>
    <w:p w14:paraId="6F18EE37">
      <w:pPr>
        <w:spacing w:line="10" w:lineRule="atLeast"/>
        <w:ind w:firstLine="400" w:firstLineChars="200"/>
        <w:textAlignment w:val="center"/>
        <w:rPr>
          <w:rFonts w:ascii="Times New Roman" w:hAnsi="Times New Roman" w:cs="宋体"/>
          <w:color w:val="000000"/>
          <w:sz w:val="20"/>
          <w:szCs w:val="20"/>
        </w:rPr>
      </w:pPr>
    </w:p>
    <w:tbl>
      <w:tblPr>
        <w:tblStyle w:val="27"/>
        <w:tblW w:w="0" w:type="auto"/>
        <w:jc w:val="right"/>
        <w:tblLayout w:type="autofit"/>
        <w:tblCellMar>
          <w:top w:w="0" w:type="dxa"/>
          <w:left w:w="108" w:type="dxa"/>
          <w:bottom w:w="0" w:type="dxa"/>
          <w:right w:w="108" w:type="dxa"/>
        </w:tblCellMar>
      </w:tblPr>
      <w:tblGrid>
        <w:gridCol w:w="2410"/>
        <w:gridCol w:w="1033"/>
        <w:gridCol w:w="668"/>
        <w:gridCol w:w="759"/>
      </w:tblGrid>
      <w:tr w14:paraId="5A3C165E">
        <w:tblPrEx>
          <w:tblCellMar>
            <w:top w:w="0" w:type="dxa"/>
            <w:left w:w="108" w:type="dxa"/>
            <w:bottom w:w="0" w:type="dxa"/>
            <w:right w:w="108" w:type="dxa"/>
          </w:tblCellMar>
        </w:tblPrEx>
        <w:trPr>
          <w:trHeight w:val="410" w:hRule="exact"/>
          <w:jc w:val="right"/>
        </w:trPr>
        <w:tc>
          <w:tcPr>
            <w:tcW w:w="2410" w:type="dxa"/>
          </w:tcPr>
          <w:p w14:paraId="4A53FCA5">
            <w:pPr>
              <w:spacing w:line="280" w:lineRule="exact"/>
              <w:jc w:val="right"/>
              <w:rPr>
                <w:color w:val="000000"/>
              </w:rPr>
            </w:pPr>
            <w:r>
              <w:rPr>
                <w:rFonts w:hint="eastAsia" w:ascii="宋体" w:hAnsi="宋体" w:cs="宋体"/>
                <w:color w:val="000000"/>
              </w:rPr>
              <w:t>本人签字</w:t>
            </w:r>
          </w:p>
        </w:tc>
        <w:tc>
          <w:tcPr>
            <w:tcW w:w="1033" w:type="dxa"/>
          </w:tcPr>
          <w:p w14:paraId="42F7D1C0">
            <w:pPr>
              <w:spacing w:line="280" w:lineRule="exact"/>
              <w:jc w:val="left"/>
              <w:rPr>
                <w:color w:val="000000"/>
              </w:rPr>
            </w:pPr>
          </w:p>
        </w:tc>
        <w:tc>
          <w:tcPr>
            <w:tcW w:w="668" w:type="dxa"/>
          </w:tcPr>
          <w:p w14:paraId="305AE73F">
            <w:pPr>
              <w:spacing w:line="280" w:lineRule="exact"/>
              <w:jc w:val="left"/>
              <w:rPr>
                <w:color w:val="000000"/>
              </w:rPr>
            </w:pPr>
            <w:r>
              <w:rPr>
                <w:rFonts w:hint="eastAsia" w:ascii="宋体" w:hAnsi="宋体" w:cs="宋体"/>
                <w:color w:val="000000"/>
              </w:rPr>
              <w:t>日期</w:t>
            </w:r>
          </w:p>
        </w:tc>
        <w:tc>
          <w:tcPr>
            <w:tcW w:w="759" w:type="dxa"/>
          </w:tcPr>
          <w:p w14:paraId="1C0C679F">
            <w:pPr>
              <w:spacing w:line="280" w:lineRule="exact"/>
              <w:jc w:val="left"/>
              <w:rPr>
                <w:color w:val="000000"/>
              </w:rPr>
            </w:pPr>
          </w:p>
        </w:tc>
      </w:tr>
      <w:tr w14:paraId="3793933B">
        <w:tblPrEx>
          <w:tblCellMar>
            <w:top w:w="0" w:type="dxa"/>
            <w:left w:w="108" w:type="dxa"/>
            <w:bottom w:w="0" w:type="dxa"/>
            <w:right w:w="108" w:type="dxa"/>
          </w:tblCellMar>
        </w:tblPrEx>
        <w:trPr>
          <w:trHeight w:val="410" w:hRule="exact"/>
          <w:jc w:val="right"/>
        </w:trPr>
        <w:tc>
          <w:tcPr>
            <w:tcW w:w="2410" w:type="dxa"/>
          </w:tcPr>
          <w:p w14:paraId="3843C687">
            <w:pPr>
              <w:spacing w:line="280" w:lineRule="exact"/>
              <w:jc w:val="right"/>
              <w:rPr>
                <w:color w:val="000000"/>
              </w:rPr>
            </w:pPr>
            <w:r>
              <w:rPr>
                <w:rFonts w:hint="eastAsia" w:ascii="宋体" w:hAnsi="宋体" w:cs="宋体"/>
                <w:color w:val="000000"/>
              </w:rPr>
              <w:t>评价项目负责人签字</w:t>
            </w:r>
          </w:p>
        </w:tc>
        <w:tc>
          <w:tcPr>
            <w:tcW w:w="1033" w:type="dxa"/>
          </w:tcPr>
          <w:p w14:paraId="4A452E95">
            <w:pPr>
              <w:spacing w:line="280" w:lineRule="exact"/>
              <w:jc w:val="left"/>
              <w:rPr>
                <w:color w:val="000000"/>
              </w:rPr>
            </w:pPr>
          </w:p>
        </w:tc>
        <w:tc>
          <w:tcPr>
            <w:tcW w:w="668" w:type="dxa"/>
          </w:tcPr>
          <w:p w14:paraId="09DCC048">
            <w:pPr>
              <w:spacing w:line="280" w:lineRule="exact"/>
              <w:jc w:val="left"/>
              <w:rPr>
                <w:color w:val="000000"/>
              </w:rPr>
            </w:pPr>
            <w:r>
              <w:rPr>
                <w:rFonts w:hint="eastAsia"/>
                <w:color w:val="000000"/>
              </w:rPr>
              <w:t>日期</w:t>
            </w:r>
          </w:p>
        </w:tc>
        <w:tc>
          <w:tcPr>
            <w:tcW w:w="759" w:type="dxa"/>
          </w:tcPr>
          <w:p w14:paraId="79B7384A">
            <w:pPr>
              <w:spacing w:line="280" w:lineRule="exact"/>
              <w:jc w:val="left"/>
              <w:rPr>
                <w:color w:val="000000"/>
              </w:rPr>
            </w:pPr>
          </w:p>
        </w:tc>
      </w:tr>
      <w:tr w14:paraId="32C1168D">
        <w:tblPrEx>
          <w:tblCellMar>
            <w:top w:w="0" w:type="dxa"/>
            <w:left w:w="108" w:type="dxa"/>
            <w:bottom w:w="0" w:type="dxa"/>
            <w:right w:w="108" w:type="dxa"/>
          </w:tblCellMar>
        </w:tblPrEx>
        <w:trPr>
          <w:trHeight w:val="460" w:hRule="exact"/>
          <w:jc w:val="right"/>
        </w:trPr>
        <w:tc>
          <w:tcPr>
            <w:tcW w:w="2410" w:type="dxa"/>
          </w:tcPr>
          <w:p w14:paraId="7667D95B">
            <w:pPr>
              <w:spacing w:line="280" w:lineRule="exact"/>
              <w:jc w:val="right"/>
              <w:rPr>
                <w:rFonts w:ascii="宋体" w:hAnsi="宋体" w:cs="宋体"/>
                <w:color w:val="000000"/>
              </w:rPr>
            </w:pPr>
            <w:r>
              <w:rPr>
                <w:rFonts w:hint="eastAsia" w:ascii="宋体" w:hAnsi="宋体" w:cs="宋体"/>
                <w:color w:val="000000"/>
              </w:rPr>
              <w:t>被评价企业盖章</w:t>
            </w:r>
          </w:p>
        </w:tc>
        <w:tc>
          <w:tcPr>
            <w:tcW w:w="1033" w:type="dxa"/>
          </w:tcPr>
          <w:p w14:paraId="61C32B75">
            <w:pPr>
              <w:spacing w:line="280" w:lineRule="exact"/>
              <w:jc w:val="left"/>
              <w:rPr>
                <w:color w:val="000000"/>
              </w:rPr>
            </w:pPr>
          </w:p>
        </w:tc>
        <w:tc>
          <w:tcPr>
            <w:tcW w:w="668" w:type="dxa"/>
          </w:tcPr>
          <w:p w14:paraId="19708BEA">
            <w:pPr>
              <w:spacing w:line="280" w:lineRule="exact"/>
              <w:jc w:val="left"/>
              <w:rPr>
                <w:rFonts w:ascii="宋体" w:hAnsi="宋体" w:cs="宋体"/>
                <w:color w:val="000000"/>
              </w:rPr>
            </w:pPr>
            <w:r>
              <w:rPr>
                <w:rFonts w:hint="eastAsia" w:ascii="宋体" w:hAnsi="宋体" w:cs="宋体"/>
                <w:color w:val="000000"/>
              </w:rPr>
              <w:t>日期</w:t>
            </w:r>
          </w:p>
        </w:tc>
        <w:tc>
          <w:tcPr>
            <w:tcW w:w="759" w:type="dxa"/>
          </w:tcPr>
          <w:p w14:paraId="1697E80A">
            <w:pPr>
              <w:spacing w:line="280" w:lineRule="exact"/>
              <w:jc w:val="left"/>
              <w:rPr>
                <w:color w:val="000000"/>
              </w:rPr>
            </w:pPr>
          </w:p>
        </w:tc>
      </w:tr>
    </w:tbl>
    <w:p w14:paraId="294B6884">
      <w:pPr>
        <w:spacing w:line="10" w:lineRule="atLeast"/>
        <w:ind w:firstLine="400" w:firstLineChars="200"/>
        <w:textAlignment w:val="center"/>
        <w:rPr>
          <w:rFonts w:ascii="Times New Roman" w:hAnsi="Times New Roman" w:cs="宋体"/>
          <w:color w:val="000000"/>
          <w:sz w:val="20"/>
          <w:szCs w:val="20"/>
        </w:rPr>
      </w:pPr>
    </w:p>
    <w:p w14:paraId="0D275994">
      <w:pPr>
        <w:rPr>
          <w:color w:val="000000"/>
        </w:rPr>
      </w:pPr>
      <w:r>
        <w:rPr>
          <w:rFonts w:ascii="Times New Roman" w:hAnsi="Times New Roman"/>
        </w:rPr>
        <w:br w:type="page"/>
      </w:r>
      <w:r>
        <w:rPr>
          <w:rFonts w:ascii="黑体" w:hAnsi="黑体" w:eastAsia="黑体"/>
        </w:rPr>
        <w:t>A.</w:t>
      </w:r>
      <w:r>
        <w:rPr>
          <w:rFonts w:hint="eastAsia" w:ascii="黑体" w:hAnsi="黑体" w:eastAsia="黑体"/>
        </w:rPr>
        <w:t>4</w:t>
      </w:r>
      <w:r>
        <w:rPr>
          <w:rFonts w:ascii="黑体" w:hAnsi="黑体" w:eastAsia="黑体"/>
        </w:rPr>
        <w:t>　评价过程会商表</w:t>
      </w:r>
    </w:p>
    <w:p w14:paraId="3839203B">
      <w:pPr>
        <w:rPr>
          <w:rFonts w:ascii="黑体" w:hAnsi="黑体" w:eastAsia="黑体"/>
        </w:rPr>
      </w:pPr>
      <w:r>
        <w:rPr>
          <w:rFonts w:ascii="黑体" w:hAnsi="黑体" w:eastAsia="黑体"/>
        </w:rPr>
        <w:t>A.</w:t>
      </w:r>
      <w:r>
        <w:rPr>
          <w:rFonts w:hint="eastAsia" w:ascii="黑体" w:hAnsi="黑体" w:eastAsia="黑体"/>
        </w:rPr>
        <w:t>4</w:t>
      </w:r>
      <w:r>
        <w:rPr>
          <w:rFonts w:ascii="黑体" w:hAnsi="黑体" w:eastAsia="黑体"/>
        </w:rPr>
        <w:t>.</w:t>
      </w:r>
      <w:r>
        <w:rPr>
          <w:rFonts w:hint="eastAsia" w:ascii="黑体" w:hAnsi="黑体" w:eastAsia="黑体"/>
        </w:rPr>
        <w:t>1</w:t>
      </w:r>
      <w:r>
        <w:rPr>
          <w:rFonts w:ascii="黑体" w:hAnsi="黑体" w:eastAsia="黑体"/>
        </w:rPr>
        <w:t>　</w:t>
      </w:r>
      <w:r>
        <w:rPr>
          <w:rFonts w:hint="eastAsia" w:ascii="黑体" w:hAnsi="黑体" w:eastAsia="黑体"/>
        </w:rPr>
        <w:t>表格填写</w:t>
      </w:r>
    </w:p>
    <w:p w14:paraId="0465E329">
      <w:pPr>
        <w:spacing w:line="240" w:lineRule="auto"/>
        <w:ind w:firstLine="420" w:firstLineChars="200"/>
        <w:rPr>
          <w:rFonts w:ascii="宋体" w:hAnsi="宋体" w:cs="宋体"/>
          <w:color w:val="000000"/>
        </w:rPr>
      </w:pPr>
      <w:r>
        <w:rPr>
          <w:rFonts w:hint="eastAsia" w:ascii="宋体" w:hAnsi="宋体" w:cs="宋体"/>
          <w:color w:val="000000"/>
        </w:rPr>
        <w:t xml:space="preserve">A.4.1.1 </w:t>
      </w:r>
      <w:r>
        <w:rPr>
          <w:rFonts w:ascii="宋体" w:hAnsi="宋体" w:cs="宋体"/>
          <w:color w:val="000000"/>
        </w:rPr>
        <w:t>安全评价项目按照一会一表管理</w:t>
      </w:r>
      <w:r>
        <w:rPr>
          <w:rFonts w:hint="eastAsia" w:ascii="宋体" w:hAnsi="宋体" w:cs="宋体"/>
          <w:color w:val="000000"/>
        </w:rPr>
        <w:t>，评价项目组内部工作会商，或者与被评价企业等有关单位、有关人员之间就评价项目进行会商，应予以记录。</w:t>
      </w:r>
    </w:p>
    <w:p w14:paraId="7EC2815F">
      <w:pPr>
        <w:spacing w:line="240" w:lineRule="auto"/>
        <w:ind w:firstLine="420" w:firstLineChars="200"/>
        <w:rPr>
          <w:rFonts w:ascii="宋体" w:hAnsi="宋体" w:cs="宋体"/>
          <w:color w:val="000000"/>
        </w:rPr>
      </w:pPr>
      <w:r>
        <w:rPr>
          <w:rFonts w:hint="eastAsia" w:ascii="宋体" w:hAnsi="宋体" w:cs="宋体"/>
          <w:color w:val="000000"/>
        </w:rPr>
        <w:t>A.4.1.2 评价过程中包括但不限于以下会商主题：</w:t>
      </w:r>
    </w:p>
    <w:p w14:paraId="5ACD76EF">
      <w:pPr>
        <w:pStyle w:val="57"/>
        <w:numPr>
          <w:ilvl w:val="0"/>
          <w:numId w:val="63"/>
        </w:numPr>
        <w:ind w:firstLine="420"/>
      </w:pPr>
      <w:r>
        <w:rPr>
          <w:rFonts w:hint="eastAsia"/>
        </w:rPr>
        <w:t>项目启动分工/立项后首次会商。明确评价背景、来源、评价范围、评价内容、评价工作程序，列表说明评价人员工作安排（姓名、专业、职务、项目角色），列表说明评价工作计划（阶段、内容、开始时间、结束时间）；</w:t>
      </w:r>
    </w:p>
    <w:p w14:paraId="75CA9CCC">
      <w:pPr>
        <w:pStyle w:val="57"/>
        <w:numPr>
          <w:ilvl w:val="0"/>
          <w:numId w:val="63"/>
        </w:numPr>
        <w:ind w:firstLine="420"/>
      </w:pPr>
      <w:r>
        <w:rPr>
          <w:rFonts w:hint="eastAsia"/>
        </w:rPr>
        <w:t>项目问题汇总/质量控制会商。说明当前评价工作进度、评价工作总体情况，简述发现的主要问题及整改计划；</w:t>
      </w:r>
    </w:p>
    <w:p w14:paraId="7A114CE6">
      <w:pPr>
        <w:pStyle w:val="57"/>
        <w:numPr>
          <w:ilvl w:val="0"/>
          <w:numId w:val="63"/>
        </w:numPr>
        <w:ind w:firstLine="420"/>
      </w:pPr>
      <w:r>
        <w:rPr>
          <w:rFonts w:hint="eastAsia"/>
        </w:rPr>
        <w:t>项目单位需求对接/整改落实会商。说明当前评价工作进度、评价工作总体情况，简述项目单位新增要求、争议事项沟通结论、新增整改任务、下次工作对接时限。由项目单位盖章/签字确认；</w:t>
      </w:r>
    </w:p>
    <w:p w14:paraId="1B76AB69">
      <w:pPr>
        <w:pStyle w:val="57"/>
        <w:numPr>
          <w:ilvl w:val="0"/>
          <w:numId w:val="63"/>
        </w:numPr>
        <w:ind w:firstLine="420"/>
      </w:pPr>
      <w:r>
        <w:rPr>
          <w:rFonts w:hint="eastAsia"/>
        </w:rPr>
        <w:t>项目变更会纪要。涉及变更则列表说明项目评价范围、评价内容、评价边界、负责人等主要变更的变更前内容、变更后内容、变更原因、变更时间及影响分析。由项目单位盖章/签字确认。</w:t>
      </w:r>
    </w:p>
    <w:p w14:paraId="18E6E706">
      <w:pPr>
        <w:rPr>
          <w:rFonts w:ascii="黑体" w:hAnsi="黑体" w:eastAsia="黑体"/>
        </w:rPr>
      </w:pPr>
      <w:r>
        <w:rPr>
          <w:rFonts w:ascii="黑体" w:hAnsi="黑体" w:eastAsia="黑体"/>
        </w:rPr>
        <w:t>A.</w:t>
      </w:r>
      <w:r>
        <w:rPr>
          <w:rFonts w:hint="eastAsia" w:ascii="黑体" w:hAnsi="黑体" w:eastAsia="黑体"/>
        </w:rPr>
        <w:t>4</w:t>
      </w:r>
      <w:r>
        <w:rPr>
          <w:rFonts w:ascii="黑体" w:hAnsi="黑体" w:eastAsia="黑体"/>
        </w:rPr>
        <w:t>.</w:t>
      </w:r>
      <w:r>
        <w:rPr>
          <w:rFonts w:hint="eastAsia" w:ascii="黑体" w:hAnsi="黑体" w:eastAsia="黑体"/>
        </w:rPr>
        <w:t>2</w:t>
      </w:r>
      <w:r>
        <w:rPr>
          <w:rFonts w:ascii="黑体" w:hAnsi="黑体" w:eastAsia="黑体"/>
        </w:rPr>
        <w:t>　</w:t>
      </w:r>
      <w:r>
        <w:rPr>
          <w:rFonts w:hint="eastAsia" w:ascii="黑体" w:hAnsi="黑体" w:eastAsia="黑体"/>
        </w:rPr>
        <w:t>表格格式</w:t>
      </w:r>
    </w:p>
    <w:p w14:paraId="062F5D74">
      <w:pPr>
        <w:ind w:firstLine="420" w:firstLineChars="200"/>
        <w:rPr>
          <w:rFonts w:ascii="宋体" w:hAnsi="宋体" w:cs="宋体"/>
          <w:color w:val="000000"/>
        </w:rPr>
      </w:pPr>
      <w:r>
        <w:rPr>
          <w:rFonts w:hint="eastAsia" w:ascii="宋体" w:hAnsi="宋体" w:cs="宋体"/>
          <w:color w:val="000000"/>
        </w:rPr>
        <w:t>按照表A.4的格式编制评价过</w:t>
      </w:r>
      <w:r>
        <w:rPr>
          <w:rFonts w:ascii="宋体" w:hAnsi="宋体" w:cs="宋体"/>
          <w:color w:val="000000"/>
        </w:rPr>
        <w:t>程会商表</w:t>
      </w:r>
      <w:r>
        <w:rPr>
          <w:rFonts w:hint="eastAsia" w:ascii="宋体" w:hAnsi="宋体" w:cs="宋体"/>
          <w:color w:val="000000"/>
        </w:rPr>
        <w:t>。</w:t>
      </w:r>
    </w:p>
    <w:p w14:paraId="5A4693FC">
      <w:pPr>
        <w:jc w:val="center"/>
        <w:rPr>
          <w:rFonts w:ascii="黑体" w:hAnsi="黑体" w:eastAsia="黑体"/>
        </w:rPr>
      </w:pPr>
      <w:r>
        <w:rPr>
          <w:rFonts w:ascii="黑体" w:hAnsi="黑体" w:eastAsia="黑体"/>
        </w:rPr>
        <w:t>表</w:t>
      </w:r>
      <w:r>
        <w:rPr>
          <w:rFonts w:hint="eastAsia" w:ascii="黑体" w:hAnsi="黑体" w:eastAsia="黑体"/>
        </w:rPr>
        <w:t>A.4</w:t>
      </w:r>
      <w:r>
        <w:rPr>
          <w:rFonts w:ascii="黑体" w:hAnsi="黑体" w:eastAsia="黑体"/>
        </w:rPr>
        <w:t xml:space="preserve">  评价过程会商表</w:t>
      </w:r>
    </w:p>
    <w:tbl>
      <w:tblPr>
        <w:tblStyle w:val="27"/>
        <w:tblW w:w="4991" w:type="pct"/>
        <w:tblInd w:w="-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15" w:type="dxa"/>
          <w:left w:w="15" w:type="dxa"/>
          <w:bottom w:w="15" w:type="dxa"/>
          <w:right w:w="15" w:type="dxa"/>
        </w:tblCellMar>
      </w:tblPr>
      <w:tblGrid>
        <w:gridCol w:w="2298"/>
        <w:gridCol w:w="961"/>
        <w:gridCol w:w="2207"/>
        <w:gridCol w:w="720"/>
        <w:gridCol w:w="686"/>
        <w:gridCol w:w="2625"/>
      </w:tblGrid>
      <w:tr w14:paraId="69F8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rPr>
        <w:tc>
          <w:tcPr>
            <w:tcW w:w="1210" w:type="pct"/>
            <w:shd w:val="clear" w:color="auto" w:fill="FFFFFF"/>
            <w:tcMar>
              <w:top w:w="60" w:type="dxa"/>
              <w:left w:w="80" w:type="dxa"/>
              <w:bottom w:w="60" w:type="dxa"/>
              <w:right w:w="80" w:type="dxa"/>
            </w:tcMar>
            <w:vAlign w:val="center"/>
          </w:tcPr>
          <w:p w14:paraId="493B0E90">
            <w:pPr>
              <w:jc w:val="center"/>
              <w:textAlignment w:val="center"/>
              <w:rPr>
                <w:rFonts w:ascii="Times New Roman" w:hAnsi="Times New Roman" w:cs="宋体"/>
                <w:bCs/>
                <w:color w:val="000000"/>
                <w:sz w:val="20"/>
                <w:szCs w:val="20"/>
              </w:rPr>
            </w:pPr>
            <w:r>
              <w:rPr>
                <w:rFonts w:hint="eastAsia" w:ascii="Times New Roman" w:hAnsi="Times New Roman" w:cs="宋体"/>
                <w:bCs/>
                <w:color w:val="000000"/>
                <w:sz w:val="20"/>
                <w:szCs w:val="20"/>
              </w:rPr>
              <w:t>评价项目名称</w:t>
            </w:r>
          </w:p>
        </w:tc>
        <w:tc>
          <w:tcPr>
            <w:tcW w:w="3790" w:type="pct"/>
            <w:gridSpan w:val="5"/>
            <w:shd w:val="clear" w:color="auto" w:fill="FFFFFF"/>
            <w:tcMar>
              <w:top w:w="60" w:type="dxa"/>
              <w:left w:w="80" w:type="dxa"/>
              <w:bottom w:w="60" w:type="dxa"/>
              <w:right w:w="80" w:type="dxa"/>
            </w:tcMar>
            <w:vAlign w:val="center"/>
          </w:tcPr>
          <w:p w14:paraId="45E48C73">
            <w:pPr>
              <w:textAlignment w:val="center"/>
              <w:rPr>
                <w:rFonts w:ascii="Times New Roman" w:hAnsi="Times New Roman" w:cs="宋体"/>
                <w:color w:val="000000"/>
                <w:sz w:val="20"/>
                <w:szCs w:val="20"/>
              </w:rPr>
            </w:pPr>
          </w:p>
        </w:tc>
      </w:tr>
      <w:tr w14:paraId="4BA8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283" w:hRule="atLeast"/>
        </w:trPr>
        <w:tc>
          <w:tcPr>
            <w:tcW w:w="1210" w:type="pct"/>
            <w:shd w:val="clear" w:color="auto" w:fill="FFFFFF"/>
            <w:tcMar>
              <w:top w:w="60" w:type="dxa"/>
              <w:left w:w="80" w:type="dxa"/>
              <w:bottom w:w="60" w:type="dxa"/>
              <w:right w:w="80" w:type="dxa"/>
            </w:tcMar>
            <w:vAlign w:val="center"/>
          </w:tcPr>
          <w:p w14:paraId="05FCF1B8">
            <w:pPr>
              <w:jc w:val="center"/>
              <w:textAlignment w:val="center"/>
              <w:rPr>
                <w:rFonts w:ascii="Times New Roman" w:hAnsi="Times New Roman" w:cs="宋体"/>
                <w:bCs/>
                <w:color w:val="000000"/>
                <w:sz w:val="20"/>
                <w:szCs w:val="20"/>
              </w:rPr>
            </w:pPr>
            <w:r>
              <w:rPr>
                <w:rFonts w:hint="eastAsia" w:ascii="Times New Roman" w:hAnsi="Times New Roman" w:cs="宋体"/>
                <w:bCs/>
                <w:color w:val="000000"/>
                <w:sz w:val="20"/>
                <w:szCs w:val="20"/>
              </w:rPr>
              <w:t>被评价企业名称</w:t>
            </w:r>
          </w:p>
        </w:tc>
        <w:tc>
          <w:tcPr>
            <w:tcW w:w="3790" w:type="pct"/>
            <w:gridSpan w:val="5"/>
            <w:shd w:val="clear" w:color="auto" w:fill="FFFFFF"/>
            <w:tcMar>
              <w:top w:w="60" w:type="dxa"/>
              <w:left w:w="80" w:type="dxa"/>
              <w:bottom w:w="60" w:type="dxa"/>
              <w:right w:w="80" w:type="dxa"/>
            </w:tcMar>
            <w:vAlign w:val="center"/>
          </w:tcPr>
          <w:p w14:paraId="2154092C">
            <w:pPr>
              <w:textAlignment w:val="center"/>
              <w:rPr>
                <w:rFonts w:ascii="Times New Roman" w:hAnsi="Times New Roman" w:cs="宋体"/>
                <w:color w:val="000000"/>
                <w:sz w:val="20"/>
                <w:szCs w:val="20"/>
              </w:rPr>
            </w:pPr>
          </w:p>
        </w:tc>
      </w:tr>
      <w:tr w14:paraId="43D4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499ABCE3">
            <w:pPr>
              <w:jc w:val="center"/>
              <w:rPr>
                <w:rFonts w:ascii="Times New Roman" w:hAnsi="Times New Roman"/>
              </w:rPr>
            </w:pPr>
            <w:r>
              <w:rPr>
                <w:rFonts w:hint="eastAsia" w:ascii="Times New Roman" w:hAnsi="Times New Roman"/>
              </w:rPr>
              <w:t>会商主题</w:t>
            </w:r>
          </w:p>
        </w:tc>
        <w:tc>
          <w:tcPr>
            <w:tcW w:w="3790" w:type="pct"/>
            <w:gridSpan w:val="5"/>
            <w:tcBorders>
              <w:top w:val="single" w:color="auto" w:sz="4" w:space="0"/>
              <w:left w:val="single" w:color="auto" w:sz="4" w:space="0"/>
              <w:bottom w:val="single" w:color="auto" w:sz="4" w:space="0"/>
              <w:right w:val="single" w:color="auto" w:sz="4" w:space="0"/>
            </w:tcBorders>
            <w:shd w:val="clear" w:color="auto" w:fill="auto"/>
          </w:tcPr>
          <w:p w14:paraId="717A3C57">
            <w:pPr>
              <w:rPr>
                <w:rFonts w:ascii="Times New Roman" w:hAnsi="Times New Roman"/>
              </w:rPr>
            </w:pPr>
          </w:p>
        </w:tc>
      </w:tr>
      <w:tr w14:paraId="2EE95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289C2B6C">
            <w:pPr>
              <w:jc w:val="center"/>
              <w:rPr>
                <w:rFonts w:ascii="Times New Roman" w:hAnsi="Times New Roman"/>
              </w:rPr>
            </w:pPr>
            <w:r>
              <w:rPr>
                <w:rFonts w:hint="eastAsia" w:ascii="Times New Roman" w:hAnsi="Times New Roman"/>
              </w:rPr>
              <w:t>会商时间</w:t>
            </w:r>
          </w:p>
        </w:tc>
        <w:tc>
          <w:tcPr>
            <w:tcW w:w="1668" w:type="pct"/>
            <w:gridSpan w:val="2"/>
            <w:tcBorders>
              <w:top w:val="single" w:color="auto" w:sz="4" w:space="0"/>
              <w:left w:val="single" w:color="auto" w:sz="4" w:space="0"/>
              <w:bottom w:val="single" w:color="auto" w:sz="4" w:space="0"/>
              <w:right w:val="single" w:color="auto" w:sz="4" w:space="0"/>
            </w:tcBorders>
            <w:shd w:val="clear" w:color="auto" w:fill="auto"/>
          </w:tcPr>
          <w:p w14:paraId="4CC9F10E">
            <w:pPr>
              <w:rPr>
                <w:rFonts w:ascii="Times New Roman" w:hAnsi="Times New Roman"/>
              </w:rPr>
            </w:pPr>
          </w:p>
        </w:tc>
        <w:tc>
          <w:tcPr>
            <w:tcW w:w="740"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CA6BFD">
            <w:pPr>
              <w:jc w:val="center"/>
              <w:rPr>
                <w:rFonts w:ascii="Times New Roman" w:hAnsi="Times New Roman"/>
              </w:rPr>
            </w:pPr>
            <w:r>
              <w:rPr>
                <w:rFonts w:hint="eastAsia" w:ascii="Times New Roman" w:hAnsi="Times New Roman"/>
              </w:rPr>
              <w:t>地  点</w:t>
            </w:r>
          </w:p>
        </w:tc>
        <w:tc>
          <w:tcPr>
            <w:tcW w:w="1382" w:type="pct"/>
            <w:tcBorders>
              <w:top w:val="single" w:color="auto" w:sz="4" w:space="0"/>
              <w:left w:val="single" w:color="auto" w:sz="4" w:space="0"/>
              <w:bottom w:val="single" w:color="auto" w:sz="4" w:space="0"/>
              <w:right w:val="single" w:color="auto" w:sz="4" w:space="0"/>
            </w:tcBorders>
            <w:shd w:val="clear" w:color="auto" w:fill="auto"/>
          </w:tcPr>
          <w:p w14:paraId="1E704E95">
            <w:pPr>
              <w:rPr>
                <w:rFonts w:ascii="Times New Roman" w:hAnsi="Times New Roman"/>
              </w:rPr>
            </w:pPr>
          </w:p>
        </w:tc>
      </w:tr>
      <w:tr w14:paraId="05ABE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210" w:type="pct"/>
            <w:tcBorders>
              <w:top w:val="single" w:color="auto" w:sz="4" w:space="0"/>
              <w:left w:val="single" w:color="auto" w:sz="4" w:space="0"/>
              <w:bottom w:val="single" w:color="auto" w:sz="4" w:space="0"/>
              <w:right w:val="single" w:color="auto" w:sz="4" w:space="0"/>
            </w:tcBorders>
            <w:shd w:val="clear" w:color="auto" w:fill="auto"/>
            <w:vAlign w:val="center"/>
          </w:tcPr>
          <w:p w14:paraId="3A6E1398">
            <w:pPr>
              <w:jc w:val="center"/>
              <w:rPr>
                <w:rFonts w:ascii="Times New Roman" w:hAnsi="Times New Roman"/>
              </w:rPr>
            </w:pPr>
            <w:r>
              <w:rPr>
                <w:rFonts w:hint="eastAsia" w:ascii="Times New Roman" w:hAnsi="Times New Roman"/>
              </w:rPr>
              <w:t>主持人</w:t>
            </w:r>
          </w:p>
        </w:tc>
        <w:tc>
          <w:tcPr>
            <w:tcW w:w="3790"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BFCC077">
            <w:pPr>
              <w:jc w:val="center"/>
              <w:rPr>
                <w:rFonts w:ascii="Times New Roman" w:hAnsi="Times New Roman"/>
              </w:rPr>
            </w:pPr>
          </w:p>
        </w:tc>
      </w:tr>
      <w:tr w14:paraId="320B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A7CB38">
            <w:pPr>
              <w:jc w:val="center"/>
              <w:rPr>
                <w:rFonts w:ascii="Times New Roman" w:hAnsi="Times New Roman"/>
              </w:rPr>
            </w:pPr>
            <w:r>
              <w:rPr>
                <w:rFonts w:hint="eastAsia" w:ascii="Times New Roman" w:hAnsi="Times New Roman"/>
              </w:rPr>
              <w:t>参加单位</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A5425A">
            <w:pPr>
              <w:jc w:val="center"/>
              <w:rPr>
                <w:rFonts w:ascii="Times New Roman" w:hAnsi="Times New Roman"/>
              </w:rPr>
            </w:pPr>
            <w:r>
              <w:rPr>
                <w:rFonts w:hint="eastAsia" w:ascii="Times New Roman" w:hAnsi="Times New Roman"/>
              </w:rPr>
              <w:t>参加人员</w:t>
            </w: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B6FB5DB">
            <w:pPr>
              <w:jc w:val="center"/>
              <w:rPr>
                <w:rFonts w:ascii="Times New Roman" w:hAnsi="Times New Roman"/>
              </w:rPr>
            </w:pPr>
            <w:r>
              <w:rPr>
                <w:rFonts w:hint="eastAsia" w:ascii="Times New Roman" w:hAnsi="Times New Roman"/>
              </w:rPr>
              <w:t>职称/职务</w:t>
            </w:r>
          </w:p>
        </w:tc>
      </w:tr>
      <w:tr w14:paraId="30DE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vMerge w:val="restart"/>
            <w:tcBorders>
              <w:top w:val="single" w:color="auto" w:sz="4" w:space="0"/>
              <w:left w:val="single" w:color="auto" w:sz="4" w:space="0"/>
              <w:right w:val="single" w:color="auto" w:sz="4" w:space="0"/>
            </w:tcBorders>
            <w:shd w:val="clear" w:color="auto" w:fill="auto"/>
            <w:vAlign w:val="center"/>
          </w:tcPr>
          <w:p w14:paraId="38B65B1A">
            <w:pPr>
              <w:jc w:val="center"/>
              <w:rPr>
                <w:rFonts w:ascii="Times New Roman" w:hAnsi="Times New Roman"/>
              </w:rPr>
            </w:pPr>
            <w:r>
              <w:rPr>
                <w:rFonts w:hint="eastAsia" w:ascii="Times New Roman" w:hAnsi="Times New Roman"/>
              </w:rPr>
              <w:t>单位1</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AE7087">
            <w:pPr>
              <w:jc w:val="center"/>
              <w:rPr>
                <w:rFonts w:ascii="Times New Roman" w:hAnsi="Times New Roman"/>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ACAF04">
            <w:pPr>
              <w:jc w:val="center"/>
              <w:rPr>
                <w:rFonts w:ascii="Times New Roman" w:hAnsi="Times New Roman"/>
              </w:rPr>
            </w:pPr>
          </w:p>
        </w:tc>
      </w:tr>
      <w:tr w14:paraId="45ACD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vMerge w:val="continue"/>
            <w:tcBorders>
              <w:left w:val="single" w:color="auto" w:sz="4" w:space="0"/>
              <w:bottom w:val="single" w:color="auto" w:sz="4" w:space="0"/>
              <w:right w:val="single" w:color="auto" w:sz="4" w:space="0"/>
            </w:tcBorders>
            <w:shd w:val="clear" w:color="auto" w:fill="auto"/>
            <w:vAlign w:val="center"/>
          </w:tcPr>
          <w:p w14:paraId="4CBBF3CD">
            <w:pPr>
              <w:jc w:val="center"/>
              <w:rPr>
                <w:rFonts w:ascii="Times New Roman" w:hAnsi="Times New Roman"/>
              </w:rPr>
            </w:pP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8015AC9">
            <w:pPr>
              <w:jc w:val="center"/>
              <w:rPr>
                <w:rFonts w:ascii="Times New Roman" w:hAnsi="Times New Roman"/>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FF98C2">
            <w:pPr>
              <w:jc w:val="center"/>
              <w:rPr>
                <w:rFonts w:ascii="Times New Roman" w:hAnsi="Times New Roman"/>
              </w:rPr>
            </w:pPr>
          </w:p>
        </w:tc>
      </w:tr>
      <w:tr w14:paraId="1B10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vMerge w:val="restart"/>
            <w:tcBorders>
              <w:top w:val="single" w:color="auto" w:sz="4" w:space="0"/>
              <w:left w:val="single" w:color="auto" w:sz="4" w:space="0"/>
              <w:right w:val="single" w:color="auto" w:sz="4" w:space="0"/>
            </w:tcBorders>
            <w:shd w:val="clear" w:color="auto" w:fill="auto"/>
            <w:vAlign w:val="center"/>
          </w:tcPr>
          <w:p w14:paraId="556C66E0">
            <w:pPr>
              <w:jc w:val="center"/>
              <w:rPr>
                <w:rFonts w:ascii="Times New Roman" w:hAnsi="Times New Roman"/>
              </w:rPr>
            </w:pPr>
            <w:r>
              <w:rPr>
                <w:rFonts w:hint="eastAsia" w:ascii="Times New Roman" w:hAnsi="Times New Roman"/>
              </w:rPr>
              <w:t>单位2</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4DBF2C">
            <w:pPr>
              <w:jc w:val="center"/>
              <w:rPr>
                <w:rFonts w:ascii="Times New Roman" w:hAnsi="Times New Roman"/>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114065">
            <w:pPr>
              <w:jc w:val="center"/>
              <w:rPr>
                <w:rFonts w:ascii="Times New Roman" w:hAnsi="Times New Roman"/>
              </w:rPr>
            </w:pPr>
          </w:p>
        </w:tc>
      </w:tr>
      <w:tr w14:paraId="7E64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vMerge w:val="continue"/>
            <w:tcBorders>
              <w:left w:val="single" w:color="auto" w:sz="4" w:space="0"/>
              <w:bottom w:val="single" w:color="auto" w:sz="4" w:space="0"/>
              <w:right w:val="single" w:color="auto" w:sz="4" w:space="0"/>
            </w:tcBorders>
            <w:shd w:val="clear" w:color="auto" w:fill="auto"/>
            <w:vAlign w:val="center"/>
          </w:tcPr>
          <w:p w14:paraId="6C698D59">
            <w:pPr>
              <w:jc w:val="center"/>
              <w:rPr>
                <w:rFonts w:ascii="Times New Roman" w:hAnsi="Times New Roman"/>
              </w:rPr>
            </w:pP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30C8EC1">
            <w:pPr>
              <w:jc w:val="center"/>
              <w:rPr>
                <w:rFonts w:ascii="Times New Roman" w:hAnsi="Times New Roman"/>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1A3C3A">
            <w:pPr>
              <w:jc w:val="center"/>
              <w:rPr>
                <w:rFonts w:ascii="Times New Roman" w:hAnsi="Times New Roman"/>
              </w:rPr>
            </w:pPr>
          </w:p>
        </w:tc>
      </w:tr>
      <w:tr w14:paraId="36BE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3" w:hRule="atLeast"/>
        </w:trPr>
        <w:tc>
          <w:tcPr>
            <w:tcW w:w="1716" w:type="pct"/>
            <w:gridSpan w:val="2"/>
            <w:tcBorders>
              <w:left w:val="single" w:color="auto" w:sz="4" w:space="0"/>
              <w:bottom w:val="single" w:color="auto" w:sz="4" w:space="0"/>
              <w:right w:val="single" w:color="auto" w:sz="4" w:space="0"/>
            </w:tcBorders>
            <w:shd w:val="clear" w:color="auto" w:fill="auto"/>
            <w:vAlign w:val="center"/>
          </w:tcPr>
          <w:p w14:paraId="4AE82BD8">
            <w:pPr>
              <w:jc w:val="center"/>
              <w:rPr>
                <w:rFonts w:ascii="Times New Roman" w:hAnsi="Times New Roman"/>
              </w:rPr>
            </w:pPr>
            <w:r>
              <w:rPr>
                <w:rFonts w:hint="eastAsia" w:ascii="Times New Roman" w:hAnsi="Times New Roman"/>
              </w:rPr>
              <w:t>……</w:t>
            </w:r>
          </w:p>
        </w:tc>
        <w:tc>
          <w:tcPr>
            <w:tcW w:w="1541"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E95C8F">
            <w:pPr>
              <w:jc w:val="center"/>
              <w:rPr>
                <w:rFonts w:ascii="Times New Roman" w:hAnsi="Times New Roman"/>
              </w:rPr>
            </w:pPr>
          </w:p>
        </w:tc>
        <w:tc>
          <w:tcPr>
            <w:tcW w:w="1744"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2A6B7F">
            <w:pPr>
              <w:jc w:val="center"/>
              <w:rPr>
                <w:rFonts w:ascii="Times New Roman" w:hAnsi="Times New Roman"/>
              </w:rPr>
            </w:pPr>
          </w:p>
        </w:tc>
      </w:tr>
      <w:tr w14:paraId="7A6E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98" w:hRule="atLeast"/>
        </w:trPr>
        <w:tc>
          <w:tcPr>
            <w:tcW w:w="5000" w:type="pct"/>
            <w:gridSpan w:val="6"/>
            <w:shd w:val="clear" w:color="auto" w:fill="auto"/>
          </w:tcPr>
          <w:p w14:paraId="29539D87">
            <w:pPr>
              <w:jc w:val="center"/>
              <w:rPr>
                <w:rFonts w:ascii="Times New Roman" w:hAnsi="Times New Roman"/>
              </w:rPr>
            </w:pPr>
            <w:r>
              <w:rPr>
                <w:rFonts w:hint="eastAsia" w:ascii="Times New Roman" w:hAnsi="Times New Roman"/>
              </w:rPr>
              <w:t>会商纪要</w:t>
            </w:r>
          </w:p>
          <w:p w14:paraId="6F428043">
            <w:pPr>
              <w:ind w:firstLine="420" w:firstLineChars="200"/>
              <w:rPr>
                <w:rFonts w:ascii="Times New Roman" w:hAnsi="Times New Roman"/>
              </w:rPr>
            </w:pPr>
          </w:p>
          <w:p w14:paraId="2928BF3B">
            <w:pPr>
              <w:ind w:firstLine="420" w:firstLineChars="200"/>
              <w:rPr>
                <w:rFonts w:ascii="Times New Roman" w:hAnsi="Times New Roman"/>
              </w:rPr>
            </w:pPr>
          </w:p>
          <w:p w14:paraId="554B92B0">
            <w:pPr>
              <w:ind w:firstLine="420" w:firstLineChars="200"/>
              <w:rPr>
                <w:rFonts w:ascii="Times New Roman" w:hAnsi="Times New Roman"/>
              </w:rPr>
            </w:pPr>
          </w:p>
          <w:p w14:paraId="115D27C7">
            <w:pPr>
              <w:ind w:firstLine="420" w:firstLineChars="200"/>
              <w:rPr>
                <w:rFonts w:ascii="Times New Roman" w:hAnsi="Times New Roman"/>
              </w:rPr>
            </w:pPr>
          </w:p>
          <w:p w14:paraId="35ED99B8">
            <w:pPr>
              <w:ind w:firstLine="420" w:firstLineChars="200"/>
              <w:rPr>
                <w:rFonts w:ascii="Times New Roman" w:hAnsi="Times New Roman"/>
              </w:rPr>
            </w:pPr>
          </w:p>
          <w:p w14:paraId="6CA28424">
            <w:pPr>
              <w:ind w:firstLine="420" w:firstLineChars="200"/>
              <w:rPr>
                <w:rFonts w:ascii="Times New Roman" w:hAnsi="Times New Roman"/>
              </w:rPr>
            </w:pPr>
          </w:p>
        </w:tc>
      </w:tr>
    </w:tbl>
    <w:p w14:paraId="5C8AD34C">
      <w:pPr>
        <w:pStyle w:val="77"/>
        <w:spacing w:after="120"/>
        <w:rPr>
          <w:color w:val="000000"/>
        </w:rPr>
      </w:pPr>
      <w:bookmarkStart w:id="238" w:name="_Toc12287"/>
      <w:bookmarkStart w:id="239" w:name="_Toc241004897"/>
      <w:r>
        <w:rPr>
          <w:color w:val="000000"/>
        </w:rPr>
        <w:br w:type="textWrapping"/>
      </w:r>
      <w:r>
        <w:rPr>
          <w:rFonts w:hint="eastAsia"/>
          <w:color w:val="000000"/>
        </w:rPr>
        <w:t>（规范性）</w:t>
      </w:r>
      <w:r>
        <w:rPr>
          <w:color w:val="000000"/>
        </w:rPr>
        <w:br w:type="textWrapping"/>
      </w:r>
      <w:r>
        <w:rPr>
          <w:rFonts w:hint="eastAsia"/>
          <w:color w:val="000000"/>
        </w:rPr>
        <w:t>常用安全现状评价方法</w:t>
      </w:r>
      <w:bookmarkEnd w:id="238"/>
      <w:bookmarkEnd w:id="239"/>
    </w:p>
    <w:p w14:paraId="5AEEB728">
      <w:pPr>
        <w:pStyle w:val="57"/>
        <w:ind w:firstLine="420"/>
      </w:pPr>
      <w:r>
        <w:rPr>
          <w:rFonts w:hint="eastAsia" w:hAnsi="宋体"/>
        </w:rPr>
        <w:t>常用的安全现状评价方法见表B.1。</w:t>
      </w:r>
    </w:p>
    <w:p w14:paraId="7496A739">
      <w:pPr>
        <w:pStyle w:val="78"/>
        <w:numPr>
          <w:ilvl w:val="0"/>
          <w:numId w:val="0"/>
        </w:numPr>
        <w:tabs>
          <w:tab w:val="left" w:pos="3969"/>
          <w:tab w:val="clear" w:pos="0"/>
        </w:tabs>
        <w:spacing w:before="120" w:after="120"/>
        <w:rPr>
          <w:rFonts w:ascii="Times New Roman"/>
        </w:rPr>
      </w:pPr>
      <w:r>
        <w:rPr>
          <w:rFonts w:ascii="Times New Roman" w:hAnsi="黑体"/>
          <w:bCs/>
          <w:color w:val="000000"/>
        </w:rPr>
        <w:t>表</w:t>
      </w:r>
      <w:r>
        <w:rPr>
          <w:rFonts w:ascii="Times New Roman"/>
          <w:bCs/>
          <w:color w:val="000000"/>
        </w:rPr>
        <w:t>B.</w:t>
      </w:r>
      <w:r>
        <w:rPr>
          <w:rFonts w:hint="eastAsia" w:ascii="Times New Roman"/>
          <w:bCs/>
          <w:color w:val="000000"/>
        </w:rPr>
        <w:t>1   评价</w:t>
      </w:r>
      <w:r>
        <w:rPr>
          <w:rFonts w:ascii="Times New Roman"/>
          <w:bCs/>
          <w:color w:val="000000"/>
        </w:rPr>
        <w:t>单元</w:t>
      </w:r>
      <w:r>
        <w:rPr>
          <w:rFonts w:ascii="Times New Roman" w:hAnsi="黑体"/>
          <w:bCs/>
          <w:color w:val="000000"/>
        </w:rPr>
        <w:t>安全评价方法</w:t>
      </w:r>
    </w:p>
    <w:tbl>
      <w:tblPr>
        <w:tblStyle w:val="27"/>
        <w:tblW w:w="46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0" w:type="dxa"/>
          <w:bottom w:w="0" w:type="dxa"/>
          <w:right w:w="100" w:type="dxa"/>
        </w:tblCellMar>
      </w:tblPr>
      <w:tblGrid>
        <w:gridCol w:w="813"/>
        <w:gridCol w:w="2497"/>
        <w:gridCol w:w="5471"/>
      </w:tblGrid>
      <w:tr w14:paraId="2E4D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361" w:hRule="atLeast"/>
          <w:jc w:val="center"/>
        </w:trPr>
        <w:tc>
          <w:tcPr>
            <w:tcW w:w="463" w:type="pct"/>
            <w:tcMar>
              <w:top w:w="0" w:type="dxa"/>
              <w:left w:w="28" w:type="dxa"/>
              <w:bottom w:w="0" w:type="dxa"/>
              <w:right w:w="28" w:type="dxa"/>
            </w:tcMar>
            <w:vAlign w:val="center"/>
          </w:tcPr>
          <w:p w14:paraId="4C3CEB00">
            <w:pPr>
              <w:widowControl/>
              <w:overflowPunct w:val="0"/>
              <w:spacing w:line="240" w:lineRule="auto"/>
              <w:jc w:val="center"/>
              <w:textAlignment w:val="baseline"/>
              <w:rPr>
                <w:rFonts w:ascii="等线" w:hAnsi="等线" w:eastAsia="等线"/>
                <w:b/>
                <w:color w:val="000000"/>
                <w:kern w:val="0"/>
              </w:rPr>
            </w:pPr>
            <w:r>
              <w:rPr>
                <w:rFonts w:hint="eastAsia" w:cs="宋体"/>
                <w:b/>
                <w:color w:val="000000"/>
                <w:kern w:val="0"/>
              </w:rPr>
              <w:t>序号</w:t>
            </w:r>
          </w:p>
        </w:tc>
        <w:tc>
          <w:tcPr>
            <w:tcW w:w="1421" w:type="pct"/>
            <w:tcMar>
              <w:top w:w="0" w:type="dxa"/>
              <w:left w:w="28" w:type="dxa"/>
              <w:bottom w:w="0" w:type="dxa"/>
              <w:right w:w="28" w:type="dxa"/>
            </w:tcMar>
            <w:vAlign w:val="center"/>
          </w:tcPr>
          <w:p w14:paraId="142BFA92">
            <w:pPr>
              <w:widowControl/>
              <w:overflowPunct w:val="0"/>
              <w:spacing w:line="240" w:lineRule="auto"/>
              <w:jc w:val="center"/>
              <w:textAlignment w:val="baseline"/>
              <w:rPr>
                <w:rFonts w:ascii="等线" w:hAnsi="等线" w:eastAsia="等线"/>
                <w:b/>
                <w:color w:val="000000"/>
                <w:kern w:val="0"/>
              </w:rPr>
            </w:pPr>
            <w:r>
              <w:rPr>
                <w:rFonts w:hint="eastAsia" w:cs="宋体"/>
                <w:b/>
                <w:color w:val="000000"/>
                <w:kern w:val="0"/>
              </w:rPr>
              <w:t>安全评价单元</w:t>
            </w:r>
          </w:p>
        </w:tc>
        <w:tc>
          <w:tcPr>
            <w:tcW w:w="3114" w:type="pct"/>
            <w:tcMar>
              <w:top w:w="0" w:type="dxa"/>
              <w:left w:w="28" w:type="dxa"/>
              <w:bottom w:w="0" w:type="dxa"/>
              <w:right w:w="28" w:type="dxa"/>
            </w:tcMar>
            <w:vAlign w:val="center"/>
          </w:tcPr>
          <w:p w14:paraId="0B173DF5">
            <w:pPr>
              <w:widowControl/>
              <w:overflowPunct w:val="0"/>
              <w:spacing w:line="240" w:lineRule="auto"/>
              <w:jc w:val="center"/>
              <w:textAlignment w:val="baseline"/>
              <w:rPr>
                <w:rFonts w:ascii="等线" w:hAnsi="等线" w:eastAsia="等线"/>
                <w:b/>
                <w:color w:val="000000"/>
                <w:kern w:val="0"/>
              </w:rPr>
            </w:pPr>
            <w:r>
              <w:rPr>
                <w:rFonts w:hint="eastAsia" w:cs="宋体"/>
                <w:b/>
                <w:color w:val="000000"/>
                <w:kern w:val="0"/>
              </w:rPr>
              <w:t>常用安全评价方法</w:t>
            </w:r>
          </w:p>
        </w:tc>
      </w:tr>
      <w:tr w14:paraId="72B31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735" w:hRule="atLeast"/>
          <w:jc w:val="center"/>
        </w:trPr>
        <w:tc>
          <w:tcPr>
            <w:tcW w:w="463" w:type="pct"/>
            <w:tcMar>
              <w:top w:w="0" w:type="dxa"/>
              <w:left w:w="28" w:type="dxa"/>
              <w:bottom w:w="0" w:type="dxa"/>
              <w:right w:w="28" w:type="dxa"/>
            </w:tcMar>
            <w:vAlign w:val="center"/>
          </w:tcPr>
          <w:p w14:paraId="014C01BF">
            <w:pPr>
              <w:widowControl/>
              <w:overflowPunct w:val="0"/>
              <w:spacing w:line="240" w:lineRule="auto"/>
              <w:jc w:val="center"/>
              <w:textAlignment w:val="baseline"/>
              <w:rPr>
                <w:rFonts w:ascii="Times New Roman" w:hAnsi="Times New Roman" w:eastAsia="等线"/>
                <w:color w:val="000000"/>
                <w:kern w:val="0"/>
              </w:rPr>
            </w:pPr>
            <w:r>
              <w:rPr>
                <w:rFonts w:hint="eastAsia" w:ascii="Times New Roman" w:hAnsi="Times New Roman" w:eastAsia="等线"/>
                <w:color w:val="000000"/>
                <w:kern w:val="0"/>
              </w:rPr>
              <w:t>1</w:t>
            </w:r>
          </w:p>
        </w:tc>
        <w:tc>
          <w:tcPr>
            <w:tcW w:w="1421" w:type="pct"/>
            <w:tcMar>
              <w:top w:w="0" w:type="dxa"/>
              <w:left w:w="28" w:type="dxa"/>
              <w:bottom w:w="0" w:type="dxa"/>
              <w:right w:w="28" w:type="dxa"/>
            </w:tcMar>
            <w:vAlign w:val="center"/>
          </w:tcPr>
          <w:p w14:paraId="5EED368E">
            <w:pPr>
              <w:spacing w:line="240" w:lineRule="auto"/>
              <w:jc w:val="center"/>
              <w:rPr>
                <w:rFonts w:ascii="宋体" w:hAnsi="宋体"/>
                <w:bCs/>
                <w:color w:val="000000"/>
              </w:rPr>
            </w:pPr>
            <w:r>
              <w:rPr>
                <w:rFonts w:hint="eastAsia" w:cs="宋体"/>
              </w:rPr>
              <w:t>设备设施及生产作业单元</w:t>
            </w:r>
          </w:p>
        </w:tc>
        <w:tc>
          <w:tcPr>
            <w:tcW w:w="3114" w:type="pct"/>
            <w:tcMar>
              <w:top w:w="0" w:type="dxa"/>
              <w:left w:w="28" w:type="dxa"/>
              <w:bottom w:w="0" w:type="dxa"/>
              <w:right w:w="28" w:type="dxa"/>
            </w:tcMar>
            <w:vAlign w:val="center"/>
          </w:tcPr>
          <w:p w14:paraId="4A79CDA9">
            <w:pPr>
              <w:widowControl/>
              <w:overflowPunct w:val="0"/>
              <w:spacing w:line="240" w:lineRule="auto"/>
              <w:jc w:val="center"/>
              <w:textAlignment w:val="baseline"/>
              <w:rPr>
                <w:rFonts w:ascii="等线" w:hAnsi="等线" w:eastAsia="等线"/>
                <w:color w:val="000000"/>
                <w:kern w:val="0"/>
              </w:rPr>
            </w:pPr>
            <w:r>
              <w:rPr>
                <w:rFonts w:hint="eastAsia" w:cs="宋体"/>
                <w:color w:val="000000"/>
                <w:kern w:val="0"/>
              </w:rPr>
              <w:t>安全检查表法、火灾爆炸危险指数评价法、</w:t>
            </w:r>
            <w:r>
              <w:rPr>
                <w:rFonts w:hint="eastAsia" w:cs="宋体"/>
                <w:kern w:val="0"/>
              </w:rPr>
              <w:t>事故树分析法、事件树分析法、风险矩阵法、</w:t>
            </w:r>
            <w:r>
              <w:rPr>
                <w:rFonts w:hint="eastAsia" w:cs="宋体"/>
                <w:color w:val="000000"/>
                <w:kern w:val="0"/>
              </w:rPr>
              <w:t>定量风险评价</w:t>
            </w:r>
            <w:r>
              <w:rPr>
                <w:rFonts w:hint="eastAsia" w:cs="宋体"/>
              </w:rPr>
              <w:t>法</w:t>
            </w:r>
            <w:r>
              <w:rPr>
                <w:rFonts w:hint="eastAsia" w:cs="宋体"/>
                <w:kern w:val="0"/>
              </w:rPr>
              <w:t>等</w:t>
            </w:r>
          </w:p>
        </w:tc>
      </w:tr>
      <w:tr w14:paraId="7DCF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627" w:hRule="atLeast"/>
          <w:jc w:val="center"/>
        </w:trPr>
        <w:tc>
          <w:tcPr>
            <w:tcW w:w="463" w:type="pct"/>
            <w:tcMar>
              <w:top w:w="0" w:type="dxa"/>
              <w:left w:w="28" w:type="dxa"/>
              <w:bottom w:w="0" w:type="dxa"/>
              <w:right w:w="28" w:type="dxa"/>
            </w:tcMar>
            <w:vAlign w:val="center"/>
          </w:tcPr>
          <w:p w14:paraId="7C2A0627">
            <w:pPr>
              <w:widowControl/>
              <w:overflowPunct w:val="0"/>
              <w:spacing w:line="240" w:lineRule="auto"/>
              <w:jc w:val="center"/>
              <w:textAlignment w:val="baseline"/>
              <w:rPr>
                <w:rFonts w:ascii="Times New Roman" w:hAnsi="Times New Roman" w:eastAsia="等线"/>
                <w:color w:val="000000"/>
                <w:kern w:val="0"/>
              </w:rPr>
            </w:pPr>
            <w:r>
              <w:rPr>
                <w:rFonts w:hint="eastAsia" w:ascii="Times New Roman" w:hAnsi="Times New Roman" w:eastAsia="等线"/>
                <w:color w:val="000000"/>
                <w:kern w:val="0"/>
              </w:rPr>
              <w:t>2</w:t>
            </w:r>
          </w:p>
        </w:tc>
        <w:tc>
          <w:tcPr>
            <w:tcW w:w="1421" w:type="pct"/>
            <w:tcMar>
              <w:top w:w="0" w:type="dxa"/>
              <w:left w:w="28" w:type="dxa"/>
              <w:bottom w:w="0" w:type="dxa"/>
              <w:right w:w="28" w:type="dxa"/>
            </w:tcMar>
            <w:vAlign w:val="center"/>
          </w:tcPr>
          <w:p w14:paraId="2A82CE3B">
            <w:pPr>
              <w:spacing w:line="240" w:lineRule="auto"/>
              <w:jc w:val="center"/>
              <w:rPr>
                <w:rFonts w:ascii="宋体" w:hAnsi="宋体"/>
                <w:bCs/>
                <w:color w:val="000000"/>
              </w:rPr>
            </w:pPr>
            <w:r>
              <w:rPr>
                <w:rFonts w:hint="eastAsia" w:cs="宋体"/>
              </w:rPr>
              <w:t>安全管理单元</w:t>
            </w:r>
          </w:p>
        </w:tc>
        <w:tc>
          <w:tcPr>
            <w:tcW w:w="3114" w:type="pct"/>
            <w:tcMar>
              <w:top w:w="0" w:type="dxa"/>
              <w:left w:w="28" w:type="dxa"/>
              <w:bottom w:w="0" w:type="dxa"/>
              <w:right w:w="28" w:type="dxa"/>
            </w:tcMar>
            <w:vAlign w:val="center"/>
          </w:tcPr>
          <w:p w14:paraId="2FCA086F">
            <w:pPr>
              <w:widowControl/>
              <w:overflowPunct w:val="0"/>
              <w:spacing w:line="240" w:lineRule="auto"/>
              <w:jc w:val="center"/>
              <w:textAlignment w:val="baseline"/>
              <w:rPr>
                <w:rFonts w:ascii="等线" w:hAnsi="等线" w:eastAsia="等线"/>
                <w:kern w:val="0"/>
              </w:rPr>
            </w:pPr>
            <w:r>
              <w:rPr>
                <w:rFonts w:hint="eastAsia" w:cs="宋体"/>
                <w:color w:val="000000"/>
                <w:kern w:val="0"/>
              </w:rPr>
              <w:t>安全检查表法</w:t>
            </w:r>
            <w:r>
              <w:rPr>
                <w:rFonts w:hint="eastAsia" w:cs="宋体"/>
                <w:kern w:val="0"/>
              </w:rPr>
              <w:t>等</w:t>
            </w:r>
          </w:p>
        </w:tc>
      </w:tr>
    </w:tbl>
    <w:p w14:paraId="029CBD59">
      <w:pPr>
        <w:rPr>
          <w:rFonts w:ascii="Times New Roman" w:hAnsi="Times New Roman"/>
        </w:rPr>
      </w:pPr>
    </w:p>
    <w:p w14:paraId="7B11FDDB">
      <w:pPr>
        <w:rPr>
          <w:rFonts w:ascii="Times New Roman" w:hAnsi="Times New Roman"/>
        </w:rPr>
      </w:pPr>
      <w:r>
        <w:rPr>
          <w:color w:val="000000"/>
          <w:highlight w:val="lightGray"/>
        </w:rPr>
        <w:br w:type="page"/>
      </w:r>
    </w:p>
    <w:bookmarkEnd w:id="234"/>
    <w:bookmarkEnd w:id="235"/>
    <w:bookmarkEnd w:id="236"/>
    <w:bookmarkEnd w:id="237"/>
    <w:p w14:paraId="6AED2D37">
      <w:pPr>
        <w:pStyle w:val="199"/>
      </w:pPr>
    </w:p>
    <w:p w14:paraId="340D0EE5">
      <w:pPr>
        <w:pStyle w:val="200"/>
      </w:pPr>
    </w:p>
    <w:p w14:paraId="19664EE2">
      <w:pPr>
        <w:pStyle w:val="77"/>
        <w:spacing w:after="120"/>
      </w:pPr>
      <w:bookmarkStart w:id="240" w:name="_Toc5759"/>
      <w:bookmarkStart w:id="241" w:name="_Toc5387"/>
      <w:bookmarkStart w:id="242" w:name="_Toc23908"/>
      <w:bookmarkStart w:id="243" w:name="_Toc9032"/>
      <w:bookmarkStart w:id="244" w:name="_Toc24941"/>
      <w:r>
        <w:br w:type="textWrapping"/>
      </w:r>
      <w:r>
        <w:rPr>
          <w:rFonts w:hint="eastAsia"/>
        </w:rPr>
        <w:t>（规范性）</w:t>
      </w:r>
      <w:r>
        <w:rPr>
          <w:rFonts w:hint="eastAsia"/>
        </w:rPr>
        <w:br w:type="textWrapping"/>
      </w:r>
      <w:r>
        <w:rPr>
          <w:rFonts w:hint="eastAsia"/>
        </w:rPr>
        <w:t>安全现状评价报告格式</w:t>
      </w:r>
      <w:bookmarkEnd w:id="240"/>
    </w:p>
    <w:p w14:paraId="642C54B2">
      <w:pPr>
        <w:pStyle w:val="79"/>
        <w:spacing w:before="120" w:after="120"/>
      </w:pPr>
      <w:bookmarkStart w:id="245" w:name="_Toc12423"/>
      <w:r>
        <w:rPr>
          <w:rFonts w:hint="eastAsia"/>
        </w:rPr>
        <w:t>结构及格式</w:t>
      </w:r>
      <w:bookmarkEnd w:id="245"/>
    </w:p>
    <w:p w14:paraId="24027334">
      <w:pPr>
        <w:pStyle w:val="80"/>
        <w:spacing w:before="120" w:after="120"/>
      </w:pPr>
      <w:bookmarkStart w:id="246" w:name="_Toc584"/>
      <w:r>
        <mc:AlternateContent>
          <mc:Choice Requires="wps">
            <w:drawing>
              <wp:anchor distT="0" distB="0" distL="114300" distR="114300" simplePos="0" relativeHeight="251668480" behindDoc="0" locked="0" layoutInCell="1" hidden="1" allowOverlap="1">
                <wp:simplePos x="0" y="0"/>
                <wp:positionH relativeFrom="column">
                  <wp:posOffset>2955925</wp:posOffset>
                </wp:positionH>
                <wp:positionV relativeFrom="paragraph">
                  <wp:posOffset>-196215</wp:posOffset>
                </wp:positionV>
                <wp:extent cx="0" cy="539750"/>
                <wp:effectExtent l="0" t="0" r="0" b="0"/>
                <wp:wrapNone/>
                <wp:docPr id="2" name="直接连接符 2" hidden="1"/>
                <wp:cNvGraphicFramePr/>
                <a:graphic xmlns:a="http://schemas.openxmlformats.org/drawingml/2006/main">
                  <a:graphicData uri="http://schemas.microsoft.com/office/word/2010/wordprocessingShape">
                    <wps:wsp>
                      <wps:cNvCnPr/>
                      <wps:spPr>
                        <a:xfrm>
                          <a:off x="0" y="0"/>
                          <a:ext cx="0" cy="539750"/>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margin-left:232.75pt;margin-top:-15.45pt;height:42.5pt;width:0pt;visibility:hidden;z-index:251668480;mso-width-relative:page;mso-height-relative:page;" filled="f" stroked="t" coordsize="21600,21600" o:gfxdata="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VI9g9gAAAAKAQAADwAAAAAAAAABACAAAAAiAAAAZHJzL2Rvd25yZXYueG1sUEsBAhQA&#10;FAAAAAgAh07iQJFGzhbyAQAAyQMAAA4AAAAAAAAAAQAgAAAAJwEAAGRycy9lMm9Eb2MueG1sUEsF&#10;BgAAAAAGAAYAWQEAAIsFAAAAAA==&#10;">
                <v:fill on="f" focussize="0,0"/>
                <v:stroke weight="0.5pt" color="#ED7D31" miterlimit="8" joinstyle="miter"/>
                <v:imagedata o:title=""/>
                <o:lock v:ext="edit" aspectratio="f"/>
              </v:line>
            </w:pict>
          </mc:Fallback>
        </mc:AlternateContent>
      </w:r>
      <w:r>
        <mc:AlternateContent>
          <mc:Choice Requires="wps">
            <w:drawing>
              <wp:anchor distT="0" distB="0" distL="114300" distR="114300" simplePos="0" relativeHeight="251667456" behindDoc="0" locked="0" layoutInCell="1" hidden="1" allowOverlap="1">
                <wp:simplePos x="0" y="0"/>
                <wp:positionH relativeFrom="column">
                  <wp:posOffset>2561590</wp:posOffset>
                </wp:positionH>
                <wp:positionV relativeFrom="paragraph">
                  <wp:posOffset>-203835</wp:posOffset>
                </wp:positionV>
                <wp:extent cx="2828925" cy="0"/>
                <wp:effectExtent l="0" t="0" r="0" b="0"/>
                <wp:wrapNone/>
                <wp:docPr id="3" name="直接连接符 3" hidden="1"/>
                <wp:cNvGraphicFramePr/>
                <a:graphic xmlns:a="http://schemas.openxmlformats.org/drawingml/2006/main">
                  <a:graphicData uri="http://schemas.microsoft.com/office/word/2010/wordprocessingShape">
                    <wps:wsp>
                      <wps:cNvCnPr/>
                      <wps:spPr>
                        <a:xfrm flipH="1">
                          <a:off x="0" y="0"/>
                          <a:ext cx="2828925" cy="0"/>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flip:x;margin-left:201.7pt;margin-top:-16.05pt;height:0pt;width:222.75pt;visibility:hidden;z-index:251667456;mso-width-relative:page;mso-height-relative:page;" filled="f" stroked="t" coordsize="21600,21600" o:gfxdata="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JmNSHaAAAACwEAAA8AAAAAAAAAAQAgAAAAIgAAAGRycy9kb3ducmV2&#10;LnhtbFBLAQIUABQAAAAIAIdO4kDoakJ9+gEAANQDAAAOAAAAAAAAAAEAIAAAACkBAABkcnMvZTJv&#10;RG9jLnhtbFBLBQYAAAAABgAGAFkBAACVBQAAAAA=&#10;">
                <v:fill on="f" focussize="0,0"/>
                <v:stroke weight="0.5pt" color="#ED7D31" miterlimit="8" joinstyle="miter"/>
                <v:imagedata o:title=""/>
                <o:lock v:ext="edit" aspectratio="f"/>
              </v:line>
            </w:pict>
          </mc:Fallback>
        </mc:AlternateContent>
      </w:r>
      <w:r>
        <mc:AlternateContent>
          <mc:Choice Requires="wps">
            <w:drawing>
              <wp:anchor distT="0" distB="0" distL="114300" distR="114300" simplePos="0" relativeHeight="251666432" behindDoc="0" locked="0" layoutInCell="1" hidden="1" allowOverlap="1">
                <wp:simplePos x="0" y="0"/>
                <wp:positionH relativeFrom="column">
                  <wp:posOffset>5027930</wp:posOffset>
                </wp:positionH>
                <wp:positionV relativeFrom="paragraph">
                  <wp:posOffset>-1229995</wp:posOffset>
                </wp:positionV>
                <wp:extent cx="0" cy="899795"/>
                <wp:effectExtent l="0" t="0" r="0" b="0"/>
                <wp:wrapNone/>
                <wp:docPr id="4" name="直接连接符 4" hidden="1"/>
                <wp:cNvGraphicFramePr/>
                <a:graphic xmlns:a="http://schemas.openxmlformats.org/drawingml/2006/main">
                  <a:graphicData uri="http://schemas.microsoft.com/office/word/2010/wordprocessingShape">
                    <wps:wsp>
                      <wps:cNvCnPr/>
                      <wps:spPr>
                        <a:xfrm>
                          <a:off x="0" y="0"/>
                          <a:ext cx="0" cy="899795"/>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margin-left:395.9pt;margin-top:-96.85pt;height:70.85pt;width:0pt;visibility:hidden;z-index:251666432;mso-width-relative:page;mso-height-relative:page;" filled="f" stroked="t" coordsize="21600,21600" o:gfxdata="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CCoB2/ZAAAADAEAAA8AAAAAAAAAAQAgAAAAIgAAAGRycy9kb3ducmV2LnhtbFBLAQIU&#10;ABQAAAAIAIdO4kBXZkEK8gEAAMkDAAAOAAAAAAAAAAEAIAAAACgBAABkcnMvZTJvRG9jLnhtbFBL&#10;BQYAAAAABgAGAFkBAACMBQAAAAA=&#10;">
                <v:fill on="f" focussize="0,0"/>
                <v:stroke weight="0.5pt" color="#ED7D31" miterlimit="8" joinstyle="miter"/>
                <v:imagedata o:title=""/>
                <o:lock v:ext="edit" aspectratio="f"/>
              </v:line>
            </w:pict>
          </mc:Fallback>
        </mc:AlternateContent>
      </w:r>
      <w:r>
        <mc:AlternateContent>
          <mc:Choice Requires="wps">
            <w:drawing>
              <wp:anchor distT="0" distB="0" distL="114300" distR="114300" simplePos="0" relativeHeight="251671552" behindDoc="0" locked="0" layoutInCell="1" hidden="1" allowOverlap="1">
                <wp:simplePos x="0" y="0"/>
                <wp:positionH relativeFrom="column">
                  <wp:posOffset>2969895</wp:posOffset>
                </wp:positionH>
                <wp:positionV relativeFrom="paragraph">
                  <wp:posOffset>-187325</wp:posOffset>
                </wp:positionV>
                <wp:extent cx="0" cy="539750"/>
                <wp:effectExtent l="0" t="0" r="0" b="0"/>
                <wp:wrapNone/>
                <wp:docPr id="27" name="直接连接符 27" hidden="1"/>
                <wp:cNvGraphicFramePr/>
                <a:graphic xmlns:a="http://schemas.openxmlformats.org/drawingml/2006/main">
                  <a:graphicData uri="http://schemas.microsoft.com/office/word/2010/wordprocessingShape">
                    <wps:wsp>
                      <wps:cNvCnPr/>
                      <wps:spPr>
                        <a:xfrm>
                          <a:off x="0" y="0"/>
                          <a:ext cx="0" cy="539750"/>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margin-left:233.85pt;margin-top:-14.75pt;height:42.5pt;width:0pt;visibility:hidden;z-index:251671552;mso-width-relative:page;mso-height-relative:page;" filled="f" stroked="t" coordsize="21600,21600" o:gfxdata="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cZ6Er2AAAAAoBAAAPAAAAAAAAAAEAIAAAACIAAABkcnMvZG93bnJldi54bWxQSwEC&#10;FAAUAAAACACHTuJAwQLaFvQBAADLAwAADgAAAAAAAAABACAAAAAnAQAAZHJzL2Uyb0RvYy54bWxQ&#10;SwUGAAAAAAYABgBZAQAAjQUAAAAA&#10;">
                <v:fill on="f" focussize="0,0"/>
                <v:stroke weight="0.5pt" color="#ED7D31" miterlimit="8" joinstyle="miter"/>
                <v:imagedata o:title=""/>
                <o:lock v:ext="edit" aspectratio="f"/>
              </v:line>
            </w:pict>
          </mc:Fallback>
        </mc:AlternateContent>
      </w:r>
      <w:r>
        <mc:AlternateContent>
          <mc:Choice Requires="wps">
            <w:drawing>
              <wp:anchor distT="0" distB="0" distL="114300" distR="114300" simplePos="0" relativeHeight="251670528" behindDoc="0" locked="0" layoutInCell="1" hidden="1" allowOverlap="1">
                <wp:simplePos x="0" y="0"/>
                <wp:positionH relativeFrom="column">
                  <wp:posOffset>-191770</wp:posOffset>
                </wp:positionH>
                <wp:positionV relativeFrom="paragraph">
                  <wp:posOffset>-195580</wp:posOffset>
                </wp:positionV>
                <wp:extent cx="3419475" cy="0"/>
                <wp:effectExtent l="0" t="0" r="0" b="0"/>
                <wp:wrapNone/>
                <wp:docPr id="28" name="直接连接符 28" hidden="1"/>
                <wp:cNvGraphicFramePr/>
                <a:graphic xmlns:a="http://schemas.openxmlformats.org/drawingml/2006/main">
                  <a:graphicData uri="http://schemas.microsoft.com/office/word/2010/wordprocessingShape">
                    <wps:wsp>
                      <wps:cNvCnPr/>
                      <wps:spPr>
                        <a:xfrm>
                          <a:off x="0" y="0"/>
                          <a:ext cx="3419475" cy="0"/>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margin-left:-15.1pt;margin-top:-15.4pt;height:0pt;width:269.25pt;visibility:hidden;z-index:251670528;mso-width-relative:page;mso-height-relative:page;" filled="f" stroked="t" coordsize="21600,21600" o:gfxdata="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hfoK9cAAAALAQAADwAAAAAAAAABACAAAAAiAAAAZHJzL2Rvd25yZXYueG1sUEsB&#10;AhQAFAAAAAgAh07iQAICNbv2AQAAzAMAAA4AAAAAAAAAAQAgAAAAJgEAAGRycy9lMm9Eb2MueG1s&#10;UEsFBgAAAAAGAAYAWQEAAI4FAAAAAA==&#10;">
                <v:fill on="f" focussize="0,0"/>
                <v:stroke weight="0.5pt" color="#ED7D31" miterlimit="8" joinstyle="miter"/>
                <v:imagedata o:title=""/>
                <o:lock v:ext="edit" aspectratio="f"/>
              </v:line>
            </w:pict>
          </mc:Fallback>
        </mc:AlternateContent>
      </w:r>
      <w:r>
        <mc:AlternateContent>
          <mc:Choice Requires="wps">
            <w:drawing>
              <wp:anchor distT="0" distB="0" distL="114300" distR="114300" simplePos="0" relativeHeight="251669504" behindDoc="0" locked="0" layoutInCell="1" hidden="1" allowOverlap="1">
                <wp:simplePos x="0" y="0"/>
                <wp:positionH relativeFrom="column">
                  <wp:posOffset>36195</wp:posOffset>
                </wp:positionH>
                <wp:positionV relativeFrom="paragraph">
                  <wp:posOffset>-1233805</wp:posOffset>
                </wp:positionV>
                <wp:extent cx="0" cy="899795"/>
                <wp:effectExtent l="0" t="0" r="0" b="0"/>
                <wp:wrapNone/>
                <wp:docPr id="29" name="直接连接符 29" hidden="1"/>
                <wp:cNvGraphicFramePr/>
                <a:graphic xmlns:a="http://schemas.openxmlformats.org/drawingml/2006/main">
                  <a:graphicData uri="http://schemas.microsoft.com/office/word/2010/wordprocessingShape">
                    <wps:wsp>
                      <wps:cNvCnPr/>
                      <wps:spPr>
                        <a:xfrm>
                          <a:off x="0" y="0"/>
                          <a:ext cx="0" cy="899795"/>
                        </a:xfrm>
                        <a:prstGeom prst="line">
                          <a:avLst/>
                        </a:prstGeom>
                        <a:noFill/>
                        <a:ln w="6350" cap="flat" cmpd="sng" algn="ctr">
                          <a:solidFill>
                            <a:srgbClr val="ED7D31"/>
                          </a:solidFill>
                          <a:prstDash val="solid"/>
                          <a:miter lim="800000"/>
                        </a:ln>
                        <a:effectLst/>
                      </wps:spPr>
                      <wps:bodyPr/>
                    </wps:wsp>
                  </a:graphicData>
                </a:graphic>
              </wp:anchor>
            </w:drawing>
          </mc:Choice>
          <mc:Fallback>
            <w:pict>
              <v:line id="_x0000_s1026" o:spid="_x0000_s1026" o:spt="20" style="position:absolute;left:0pt;margin-left:2.85pt;margin-top:-97.15pt;height:70.85pt;width:0pt;visibility:hidden;z-index:251669504;mso-width-relative:page;mso-height-relative:page;" filled="f" stroked="t" coordsize="21600,21600" o:gfxdata="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zVjtCNcAAAAIAQAADwAAAAAAAAABACAAAAAiAAAAZHJzL2Rvd25yZXYueG1sUEsBAhQA&#10;FAAAAAgAh07iQLmboFLzAQAAywMAAA4AAAAAAAAAAQAgAAAAJgEAAGRycy9lMm9Eb2MueG1sUEsF&#10;BgAAAAAGAAYAWQEAAIsFAAAAAA==&#10;">
                <v:fill on="f" focussize="0,0"/>
                <v:stroke weight="0.5pt" color="#ED7D31" miterlimit="8" joinstyle="miter"/>
                <v:imagedata o:title=""/>
                <o:lock v:ext="edit" aspectratio="f"/>
              </v:line>
            </w:pict>
          </mc:Fallback>
        </mc:AlternateContent>
      </w:r>
      <w:r>
        <w:rPr>
          <w:rFonts w:hint="eastAsia"/>
        </w:rPr>
        <w:t>基本格式要求</w:t>
      </w:r>
      <w:bookmarkEnd w:id="246"/>
    </w:p>
    <w:p w14:paraId="216CB715">
      <w:pPr>
        <w:spacing w:line="240" w:lineRule="auto"/>
        <w:ind w:firstLine="420" w:firstLineChars="200"/>
        <w:rPr>
          <w:rFonts w:ascii="宋体" w:hAnsi="宋体" w:cs="宋体"/>
        </w:rPr>
      </w:pPr>
      <w:r>
        <w:rPr>
          <w:rFonts w:hint="eastAsia" w:ascii="宋体" w:hAnsi="宋体" w:cs="宋体"/>
        </w:rPr>
        <w:t>评价报告的基本格式要求如下：</w:t>
      </w:r>
    </w:p>
    <w:p w14:paraId="12704DC5">
      <w:pPr>
        <w:pStyle w:val="175"/>
        <w:numPr>
          <w:ilvl w:val="0"/>
          <w:numId w:val="64"/>
        </w:numPr>
      </w:pPr>
      <w:r>
        <w:rPr>
          <w:rFonts w:hint="eastAsia"/>
        </w:rPr>
        <w:t>封面；</w:t>
      </w:r>
    </w:p>
    <w:p w14:paraId="5EB6C184">
      <w:pPr>
        <w:pStyle w:val="175"/>
        <w:numPr>
          <w:ilvl w:val="0"/>
          <w:numId w:val="64"/>
        </w:numPr>
      </w:pPr>
      <w:r>
        <w:rPr>
          <w:rFonts w:hint="eastAsia"/>
        </w:rPr>
        <w:t>安全评价资质证书影印件；</w:t>
      </w:r>
    </w:p>
    <w:p w14:paraId="5F69EFCA">
      <w:pPr>
        <w:pStyle w:val="175"/>
        <w:numPr>
          <w:ilvl w:val="0"/>
          <w:numId w:val="64"/>
        </w:numPr>
      </w:pPr>
      <w:r>
        <w:rPr>
          <w:rFonts w:hint="eastAsia"/>
        </w:rPr>
        <w:t>著录项；</w:t>
      </w:r>
    </w:p>
    <w:p w14:paraId="734CD31A">
      <w:pPr>
        <w:pStyle w:val="175"/>
        <w:numPr>
          <w:ilvl w:val="0"/>
          <w:numId w:val="64"/>
        </w:numPr>
      </w:pPr>
      <w:r>
        <w:rPr>
          <w:rFonts w:hint="eastAsia"/>
        </w:rPr>
        <w:t>前言；</w:t>
      </w:r>
    </w:p>
    <w:p w14:paraId="40BC80B9">
      <w:pPr>
        <w:pStyle w:val="175"/>
        <w:numPr>
          <w:ilvl w:val="0"/>
          <w:numId w:val="64"/>
        </w:numPr>
      </w:pPr>
      <w:r>
        <w:rPr>
          <w:rFonts w:hint="eastAsia"/>
        </w:rPr>
        <w:t>目录；</w:t>
      </w:r>
    </w:p>
    <w:p w14:paraId="24232F12">
      <w:pPr>
        <w:pStyle w:val="175"/>
        <w:numPr>
          <w:ilvl w:val="0"/>
          <w:numId w:val="64"/>
        </w:numPr>
      </w:pPr>
      <w:r>
        <w:rPr>
          <w:rFonts w:hint="eastAsia"/>
        </w:rPr>
        <w:t>正文；</w:t>
      </w:r>
    </w:p>
    <w:p w14:paraId="6EB049BE">
      <w:pPr>
        <w:pStyle w:val="175"/>
        <w:numPr>
          <w:ilvl w:val="0"/>
          <w:numId w:val="64"/>
        </w:numPr>
      </w:pPr>
      <w:r>
        <w:rPr>
          <w:rFonts w:hint="eastAsia"/>
        </w:rPr>
        <w:t>附件；</w:t>
      </w:r>
    </w:p>
    <w:p w14:paraId="62636D9A">
      <w:pPr>
        <w:pStyle w:val="175"/>
        <w:numPr>
          <w:ilvl w:val="0"/>
          <w:numId w:val="64"/>
        </w:numPr>
      </w:pPr>
      <w:r>
        <w:rPr>
          <w:rFonts w:hint="eastAsia"/>
        </w:rPr>
        <w:t>附图。</w:t>
      </w:r>
    </w:p>
    <w:p w14:paraId="46E60BB8">
      <w:pPr>
        <w:pStyle w:val="80"/>
        <w:spacing w:before="120" w:after="120"/>
      </w:pPr>
      <w:bookmarkStart w:id="247" w:name="_Toc21544"/>
      <w:r>
        <w:rPr>
          <w:rFonts w:hint="eastAsia"/>
        </w:rPr>
        <w:t>封面</w:t>
      </w:r>
      <w:bookmarkEnd w:id="247"/>
    </w:p>
    <w:p w14:paraId="656671CE">
      <w:pPr>
        <w:pStyle w:val="231"/>
        <w:rPr>
          <w:rFonts w:hAnsi="宋体" w:cs="宋体"/>
        </w:rPr>
      </w:pPr>
      <w:r>
        <w:rPr>
          <w:rFonts w:hint="eastAsia"/>
        </w:rPr>
        <w:t>封面格式应符合</w:t>
      </w:r>
      <w:r>
        <w:rPr>
          <w:rFonts w:hint="eastAsia" w:hAnsi="宋体" w:cs="宋体"/>
        </w:rPr>
        <w:t>图C</w:t>
      </w:r>
      <w:r>
        <w:rPr>
          <w:rFonts w:hint="eastAsia" w:hAnsi="宋体" w:cs="宋体"/>
          <w:spacing w:val="1"/>
        </w:rPr>
        <w:t>.1</w:t>
      </w:r>
      <w:r>
        <w:rPr>
          <w:rFonts w:hint="eastAsia" w:hAnsi="宋体" w:cs="宋体"/>
        </w:rPr>
        <w:t>的要求。</w:t>
      </w:r>
    </w:p>
    <w:p w14:paraId="52985E5B">
      <w:pPr>
        <w:pStyle w:val="80"/>
        <w:spacing w:before="120" w:after="120"/>
      </w:pPr>
      <w:bookmarkStart w:id="248" w:name="_Toc21776"/>
      <w:r>
        <w:rPr>
          <w:rFonts w:hint="eastAsia"/>
        </w:rPr>
        <w:t>著录项</w:t>
      </w:r>
      <w:bookmarkEnd w:id="248"/>
    </w:p>
    <w:p w14:paraId="25456C25">
      <w:pPr>
        <w:widowControl/>
        <w:numPr>
          <w:ilvl w:val="1"/>
          <w:numId w:val="0"/>
        </w:numPr>
        <w:spacing w:line="240" w:lineRule="auto"/>
        <w:ind w:firstLine="420" w:firstLineChars="200"/>
        <w:rPr>
          <w:rFonts w:ascii="宋体" w:hAnsi="宋体" w:cs="宋体"/>
          <w:kern w:val="0"/>
        </w:rPr>
      </w:pPr>
      <w:r>
        <w:rPr>
          <w:rFonts w:hint="eastAsia" w:ascii="宋体" w:hAnsi="宋体" w:cs="宋体"/>
          <w:kern w:val="0"/>
        </w:rPr>
        <w:t>著录项格式应符合图C.2和表C.2的要求。</w:t>
      </w:r>
    </w:p>
    <w:p w14:paraId="3D2522F3">
      <w:pPr>
        <w:pStyle w:val="80"/>
        <w:spacing w:before="120" w:after="120"/>
      </w:pPr>
      <w:bookmarkStart w:id="249" w:name="_Toc19181"/>
      <w:r>
        <w:rPr>
          <w:rFonts w:hint="eastAsia"/>
        </w:rPr>
        <w:t>前言</w:t>
      </w:r>
      <w:bookmarkEnd w:id="249"/>
    </w:p>
    <w:p w14:paraId="33D1E489">
      <w:pPr>
        <w:spacing w:line="360" w:lineRule="exact"/>
        <w:ind w:firstLine="420" w:firstLineChars="200"/>
        <w:rPr>
          <w:rFonts w:ascii="宋体" w:hAnsi="宋体" w:cs="宋体"/>
        </w:rPr>
      </w:pPr>
      <w:r>
        <w:rPr>
          <w:rFonts w:hint="eastAsia" w:ascii="宋体" w:hAnsi="宋体" w:cs="宋体"/>
        </w:rPr>
        <w:t>前言采用三号黑体字，内容的文字表述部分采用小四号宋体字。</w:t>
      </w:r>
    </w:p>
    <w:p w14:paraId="781FF4E5">
      <w:pPr>
        <w:pStyle w:val="80"/>
        <w:spacing w:before="120" w:after="120"/>
      </w:pPr>
      <w:bookmarkStart w:id="250" w:name="_Toc11016"/>
      <w:r>
        <w:rPr>
          <w:rFonts w:hint="eastAsia"/>
        </w:rPr>
        <w:t>目录</w:t>
      </w:r>
      <w:bookmarkEnd w:id="250"/>
    </w:p>
    <w:p w14:paraId="45D1D364">
      <w:pPr>
        <w:spacing w:line="360" w:lineRule="exact"/>
        <w:ind w:firstLine="420" w:firstLineChars="200"/>
        <w:rPr>
          <w:rFonts w:ascii="宋体" w:hAnsi="宋体" w:cs="宋体"/>
        </w:rPr>
      </w:pPr>
      <w:r>
        <w:rPr>
          <w:rFonts w:hint="eastAsia" w:ascii="宋体" w:hAnsi="宋体" w:cs="宋体"/>
        </w:rPr>
        <w:t>目录的编排应列出章、节的名称，采用三号黑体字，章、节标题采用小四号宋体字。</w:t>
      </w:r>
    </w:p>
    <w:p w14:paraId="35B4394A">
      <w:pPr>
        <w:pStyle w:val="80"/>
        <w:spacing w:before="120" w:after="120"/>
      </w:pPr>
      <w:bookmarkStart w:id="251" w:name="_Toc845"/>
      <w:r>
        <w:rPr>
          <w:rFonts w:hint="eastAsia"/>
        </w:rPr>
        <w:t>正文</w:t>
      </w:r>
      <w:bookmarkEnd w:id="251"/>
    </w:p>
    <w:p w14:paraId="19673346">
      <w:pPr>
        <w:spacing w:line="360" w:lineRule="exact"/>
        <w:ind w:firstLine="420" w:firstLineChars="200"/>
        <w:rPr>
          <w:rFonts w:ascii="宋体" w:hAnsi="宋体" w:cs="宋体"/>
        </w:rPr>
      </w:pPr>
      <w:r>
        <w:rPr>
          <w:rFonts w:hint="eastAsia" w:ascii="宋体" w:hAnsi="宋体" w:cs="宋体"/>
        </w:rPr>
        <w:t>报告主要内容的章、节标题分别采用三号黑体、四号黑体字，内容的文字表述部分采用小四号宋体字，表名、图名采用五号黑体，表格文字可选择采用五号或者小五号宋体字；页眉报告名称和页脚页码</w:t>
      </w:r>
      <w:r>
        <w:rPr>
          <w:rFonts w:hint="eastAsia" w:ascii="宋体" w:hAnsi="宋体" w:cs="宋体"/>
          <w:color w:val="000000"/>
        </w:rPr>
        <w:t>采用五号楷体字。</w:t>
      </w:r>
    </w:p>
    <w:p w14:paraId="0FF4C75F">
      <w:pPr>
        <w:pStyle w:val="80"/>
        <w:spacing w:before="120" w:after="120"/>
      </w:pPr>
      <w:bookmarkStart w:id="252" w:name="_Toc6064"/>
      <w:r>
        <w:rPr>
          <w:rFonts w:hint="eastAsia"/>
        </w:rPr>
        <w:t>附件与附图</w:t>
      </w:r>
      <w:bookmarkEnd w:id="252"/>
    </w:p>
    <w:p w14:paraId="05B4714E">
      <w:pPr>
        <w:pStyle w:val="175"/>
        <w:numPr>
          <w:ilvl w:val="0"/>
          <w:numId w:val="0"/>
        </w:numPr>
        <w:ind w:left="425"/>
      </w:pPr>
      <w:r>
        <w:rPr>
          <w:rFonts w:hint="eastAsia" w:hAnsi="宋体" w:cs="宋体"/>
        </w:rPr>
        <w:t>附件、附图的标题采用三号黑体字。</w:t>
      </w:r>
    </w:p>
    <w:p w14:paraId="0ECE539B">
      <w:pPr>
        <w:pStyle w:val="79"/>
        <w:spacing w:before="120" w:after="120"/>
      </w:pPr>
      <w:bookmarkStart w:id="253" w:name="_Toc11811"/>
      <w:r>
        <w:rPr>
          <w:rFonts w:hint="eastAsia"/>
        </w:rPr>
        <w:t>排版</w:t>
      </w:r>
      <w:bookmarkEnd w:id="253"/>
    </w:p>
    <w:p w14:paraId="21CBE641">
      <w:pPr>
        <w:pStyle w:val="57"/>
        <w:ind w:firstLine="420"/>
      </w:pPr>
      <w:r>
        <w:rPr>
          <w:rFonts w:hint="eastAsia"/>
        </w:rPr>
        <w:t>前言、目录、正文、附件附图、页码排版应符合表C.1的要求。</w:t>
      </w:r>
    </w:p>
    <w:p w14:paraId="51E7A927">
      <w:pPr>
        <w:pStyle w:val="79"/>
        <w:spacing w:before="120" w:after="120"/>
      </w:pPr>
      <w:bookmarkStart w:id="254" w:name="_Toc11875"/>
      <w:r>
        <w:rPr>
          <w:rFonts w:hint="eastAsia"/>
        </w:rPr>
        <w:t>封装</w:t>
      </w:r>
      <w:bookmarkEnd w:id="254"/>
    </w:p>
    <w:p w14:paraId="2D69C7DC">
      <w:pPr>
        <w:pStyle w:val="57"/>
        <w:ind w:firstLine="420"/>
      </w:pPr>
      <w:r>
        <w:rPr>
          <w:rFonts w:hint="eastAsia"/>
        </w:rPr>
        <w:t>报告左侧装订，应在报告以下位置加盖公章或签字：</w:t>
      </w:r>
    </w:p>
    <w:p w14:paraId="40E0DFC7">
      <w:pPr>
        <w:pStyle w:val="175"/>
        <w:numPr>
          <w:ilvl w:val="0"/>
          <w:numId w:val="65"/>
        </w:numPr>
      </w:pPr>
      <w:r>
        <w:rPr>
          <w:rFonts w:hint="eastAsia"/>
        </w:rPr>
        <w:t>著录项首页加盖安全评价机构公章；</w:t>
      </w:r>
    </w:p>
    <w:p w14:paraId="6BE15154">
      <w:pPr>
        <w:pStyle w:val="175"/>
        <w:numPr>
          <w:ilvl w:val="0"/>
          <w:numId w:val="65"/>
        </w:numPr>
      </w:pPr>
      <w:r>
        <w:rPr>
          <w:rFonts w:hint="eastAsia"/>
        </w:rPr>
        <w:t>评价人员名单手写签字；</w:t>
      </w:r>
    </w:p>
    <w:p w14:paraId="6A703375">
      <w:pPr>
        <w:pStyle w:val="175"/>
        <w:numPr>
          <w:ilvl w:val="0"/>
          <w:numId w:val="65"/>
        </w:numPr>
      </w:pPr>
      <w:r>
        <w:rPr>
          <w:rFonts w:hint="eastAsia"/>
        </w:rPr>
        <w:t>结论加盖安全评价机构公章；</w:t>
      </w:r>
    </w:p>
    <w:p w14:paraId="75C5F27B">
      <w:pPr>
        <w:pStyle w:val="175"/>
        <w:numPr>
          <w:ilvl w:val="0"/>
          <w:numId w:val="65"/>
        </w:numPr>
      </w:pPr>
      <w:r>
        <w:rPr>
          <w:rFonts w:hint="eastAsia"/>
        </w:rPr>
        <w:t>侧面加盖安全评价机构公章。</w:t>
      </w:r>
    </w:p>
    <w:p w14:paraId="345304C9">
      <w:pPr>
        <w:tabs>
          <w:tab w:val="left" w:pos="851"/>
        </w:tabs>
      </w:pPr>
      <w:r>
        <w:rPr>
          <w:rFonts w:hint="eastAsia"/>
        </w:rPr>
        <w:br w:type="page"/>
      </w:r>
    </w:p>
    <w:p w14:paraId="73A11660">
      <w:pPr>
        <w:pStyle w:val="78"/>
        <w:numPr>
          <w:ilvl w:val="0"/>
          <w:numId w:val="0"/>
        </w:numPr>
        <w:spacing w:before="120" w:after="120"/>
      </w:pPr>
      <w:r>
        <w:rPr>
          <w:rFonts w:hint="eastAsia"/>
        </w:rPr>
        <w:t>表C.1  排版要求</w:t>
      </w:r>
    </w:p>
    <w:tbl>
      <w:tblPr>
        <w:tblStyle w:val="28"/>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0" w:type="dxa"/>
          <w:bottom w:w="0" w:type="dxa"/>
          <w:right w:w="100" w:type="dxa"/>
        </w:tblCellMar>
      </w:tblPr>
      <w:tblGrid>
        <w:gridCol w:w="696"/>
        <w:gridCol w:w="1255"/>
        <w:gridCol w:w="7383"/>
      </w:tblGrid>
      <w:tr w14:paraId="7D70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96" w:type="dxa"/>
            <w:vAlign w:val="center"/>
          </w:tcPr>
          <w:p w14:paraId="36604288">
            <w:pPr>
              <w:pStyle w:val="179"/>
            </w:pPr>
            <w:r>
              <w:rPr>
                <w:rFonts w:hint="eastAsia"/>
              </w:rPr>
              <w:t>序号</w:t>
            </w:r>
          </w:p>
        </w:tc>
        <w:tc>
          <w:tcPr>
            <w:tcW w:w="1255" w:type="dxa"/>
            <w:vAlign w:val="center"/>
          </w:tcPr>
          <w:p w14:paraId="1388FA58">
            <w:pPr>
              <w:pStyle w:val="179"/>
            </w:pPr>
            <w:r>
              <w:rPr>
                <w:rFonts w:hint="eastAsia"/>
              </w:rPr>
              <w:t>页别</w:t>
            </w:r>
          </w:p>
        </w:tc>
        <w:tc>
          <w:tcPr>
            <w:tcW w:w="7383" w:type="dxa"/>
            <w:vAlign w:val="center"/>
          </w:tcPr>
          <w:p w14:paraId="6D83029C">
            <w:pPr>
              <w:pStyle w:val="179"/>
            </w:pPr>
            <w:r>
              <w:rPr>
                <w:rFonts w:hint="eastAsia"/>
              </w:rPr>
              <w:t>排版要求</w:t>
            </w:r>
          </w:p>
        </w:tc>
      </w:tr>
      <w:tr w14:paraId="71EC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696" w:type="dxa"/>
            <w:vAlign w:val="center"/>
          </w:tcPr>
          <w:p w14:paraId="4E0B35AF">
            <w:pPr>
              <w:pStyle w:val="179"/>
              <w:rPr>
                <w:rFonts w:hAnsi="宋体" w:cs="宋体"/>
              </w:rPr>
            </w:pPr>
            <w:r>
              <w:rPr>
                <w:rFonts w:hint="eastAsia" w:hAnsi="宋体" w:cs="宋体"/>
              </w:rPr>
              <w:t>1</w:t>
            </w:r>
          </w:p>
        </w:tc>
        <w:tc>
          <w:tcPr>
            <w:tcW w:w="1255" w:type="dxa"/>
            <w:vAlign w:val="center"/>
          </w:tcPr>
          <w:p w14:paraId="79581FF7">
            <w:pPr>
              <w:pStyle w:val="179"/>
            </w:pPr>
            <w:r>
              <w:rPr>
                <w:rFonts w:hint="eastAsia"/>
                <w:szCs w:val="18"/>
              </w:rPr>
              <w:t>前言</w:t>
            </w:r>
          </w:p>
        </w:tc>
        <w:tc>
          <w:tcPr>
            <w:tcW w:w="7383" w:type="dxa"/>
            <w:vAlign w:val="center"/>
          </w:tcPr>
          <w:p w14:paraId="536D7521">
            <w:pPr>
              <w:pStyle w:val="179"/>
              <w:jc w:val="left"/>
            </w:pPr>
            <w:r>
              <w:rPr>
                <w:rFonts w:hint="eastAsia"/>
              </w:rPr>
              <w:t>前言标题居中；</w:t>
            </w:r>
          </w:p>
          <w:p w14:paraId="76221AF7">
            <w:pPr>
              <w:pStyle w:val="179"/>
              <w:jc w:val="left"/>
            </w:pPr>
            <w:r>
              <w:rPr>
                <w:rFonts w:hint="eastAsia"/>
              </w:rPr>
              <w:t>前言每段文字首行缩进</w:t>
            </w:r>
            <w:r>
              <w:rPr>
                <w:rFonts w:hint="eastAsia" w:hAnsi="宋体" w:cs="宋体"/>
              </w:rPr>
              <w:t>2</w:t>
            </w:r>
            <w:r>
              <w:rPr>
                <w:rFonts w:hint="eastAsia"/>
              </w:rPr>
              <w:t>字符，回行时顶格；</w:t>
            </w:r>
          </w:p>
          <w:p w14:paraId="0201334B">
            <w:pPr>
              <w:pStyle w:val="179"/>
              <w:jc w:val="left"/>
            </w:pPr>
            <w:r>
              <w:rPr>
                <w:rFonts w:hint="eastAsia"/>
              </w:rPr>
              <w:t>行间距为</w:t>
            </w:r>
            <w:r>
              <w:rPr>
                <w:rFonts w:hint="eastAsia" w:hAnsi="宋体" w:cs="宋体"/>
              </w:rPr>
              <w:t>1.5</w:t>
            </w:r>
            <w:r>
              <w:rPr>
                <w:rFonts w:hint="eastAsia"/>
              </w:rPr>
              <w:t>倍行距</w:t>
            </w:r>
          </w:p>
        </w:tc>
      </w:tr>
      <w:tr w14:paraId="55704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trHeight w:val="1149" w:hRule="atLeast"/>
          <w:jc w:val="center"/>
        </w:trPr>
        <w:tc>
          <w:tcPr>
            <w:tcW w:w="696" w:type="dxa"/>
            <w:vAlign w:val="center"/>
          </w:tcPr>
          <w:p w14:paraId="791EFA4F">
            <w:pPr>
              <w:pStyle w:val="179"/>
              <w:rPr>
                <w:rFonts w:hAnsi="宋体" w:cs="宋体"/>
              </w:rPr>
            </w:pPr>
            <w:r>
              <w:rPr>
                <w:rFonts w:hint="eastAsia" w:hAnsi="宋体" w:cs="宋体"/>
              </w:rPr>
              <w:t>2</w:t>
            </w:r>
          </w:p>
        </w:tc>
        <w:tc>
          <w:tcPr>
            <w:tcW w:w="1255" w:type="dxa"/>
            <w:vAlign w:val="center"/>
          </w:tcPr>
          <w:p w14:paraId="0ED61CC1">
            <w:pPr>
              <w:pStyle w:val="179"/>
            </w:pPr>
            <w:r>
              <w:rPr>
                <w:rFonts w:hint="eastAsia"/>
                <w:szCs w:val="18"/>
              </w:rPr>
              <w:t>目录</w:t>
            </w:r>
          </w:p>
        </w:tc>
        <w:tc>
          <w:tcPr>
            <w:tcW w:w="7383" w:type="dxa"/>
            <w:vAlign w:val="center"/>
          </w:tcPr>
          <w:p w14:paraId="2CFD9D52">
            <w:pPr>
              <w:pStyle w:val="179"/>
              <w:jc w:val="left"/>
            </w:pPr>
            <w:r>
              <w:rPr>
                <w:rFonts w:hint="eastAsia"/>
              </w:rPr>
              <w:t>目录标题居中；</w:t>
            </w:r>
          </w:p>
          <w:p w14:paraId="512E7D12">
            <w:pPr>
              <w:pStyle w:val="179"/>
              <w:jc w:val="left"/>
            </w:pPr>
            <w:r>
              <w:rPr>
                <w:rFonts w:hint="eastAsia" w:hAnsi="宋体" w:cs="宋体"/>
              </w:rPr>
              <w:t xml:space="preserve">1 </w:t>
            </w:r>
            <w:r>
              <w:rPr>
                <w:rFonts w:hint="eastAsia"/>
              </w:rPr>
              <w:t>章名（顶格）................................................................××</w:t>
            </w:r>
          </w:p>
          <w:p w14:paraId="30ABF614">
            <w:pPr>
              <w:pStyle w:val="179"/>
              <w:ind w:firstLine="360" w:firstLineChars="200"/>
              <w:jc w:val="left"/>
            </w:pPr>
            <w:r>
              <w:rPr>
                <w:rFonts w:hint="eastAsia" w:hAnsi="宋体" w:cs="宋体"/>
              </w:rPr>
              <w:t>1.1</w:t>
            </w:r>
            <w:r>
              <w:rPr>
                <w:rFonts w:hint="eastAsia"/>
              </w:rPr>
              <w:t xml:space="preserve"> 节名（缩进</w:t>
            </w:r>
            <w:r>
              <w:rPr>
                <w:rFonts w:hint="eastAsia" w:hAnsi="宋体" w:cs="宋体"/>
              </w:rPr>
              <w:t>2</w:t>
            </w:r>
            <w:r>
              <w:rPr>
                <w:rFonts w:hint="eastAsia"/>
              </w:rPr>
              <w:t>字符）.....................................................××</w:t>
            </w:r>
          </w:p>
          <w:p w14:paraId="3EBF7ED2">
            <w:pPr>
              <w:pStyle w:val="179"/>
              <w:ind w:firstLine="360" w:firstLineChars="200"/>
              <w:jc w:val="left"/>
            </w:pPr>
            <w:r>
              <w:rPr>
                <w:rFonts w:hint="eastAsia" w:hAnsi="宋体" w:cs="宋体"/>
              </w:rPr>
              <w:t xml:space="preserve">1.2 </w:t>
            </w:r>
            <w:r>
              <w:rPr>
                <w:rFonts w:hint="eastAsia"/>
              </w:rPr>
              <w:t>节名.................................................................××</w:t>
            </w:r>
          </w:p>
          <w:p w14:paraId="50D3C34F">
            <w:pPr>
              <w:pStyle w:val="179"/>
              <w:jc w:val="left"/>
            </w:pPr>
            <w:r>
              <w:rPr>
                <w:rFonts w:hint="eastAsia"/>
              </w:rPr>
              <w:t>行间距为</w:t>
            </w:r>
            <w:r>
              <w:rPr>
                <w:rFonts w:hint="eastAsia" w:hAnsi="宋体" w:cs="宋体"/>
              </w:rPr>
              <w:t>1.5</w:t>
            </w:r>
            <w:r>
              <w:rPr>
                <w:rFonts w:hint="eastAsia"/>
              </w:rPr>
              <w:t>倍行距</w:t>
            </w:r>
          </w:p>
        </w:tc>
      </w:tr>
      <w:tr w14:paraId="51C4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696" w:type="dxa"/>
            <w:vAlign w:val="center"/>
          </w:tcPr>
          <w:p w14:paraId="3197B8DF">
            <w:pPr>
              <w:pStyle w:val="179"/>
              <w:rPr>
                <w:rFonts w:hAnsi="宋体" w:cs="宋体"/>
              </w:rPr>
            </w:pPr>
            <w:r>
              <w:rPr>
                <w:rFonts w:hint="eastAsia" w:hAnsi="宋体" w:cs="宋体"/>
              </w:rPr>
              <w:t>3</w:t>
            </w:r>
          </w:p>
        </w:tc>
        <w:tc>
          <w:tcPr>
            <w:tcW w:w="1255" w:type="dxa"/>
            <w:vAlign w:val="center"/>
          </w:tcPr>
          <w:p w14:paraId="4EAB7A0A">
            <w:pPr>
              <w:pStyle w:val="179"/>
            </w:pPr>
            <w:r>
              <w:rPr>
                <w:rFonts w:hint="eastAsia"/>
                <w:szCs w:val="18"/>
              </w:rPr>
              <w:t>正文</w:t>
            </w:r>
          </w:p>
        </w:tc>
        <w:tc>
          <w:tcPr>
            <w:tcW w:w="7383" w:type="dxa"/>
            <w:vAlign w:val="center"/>
          </w:tcPr>
          <w:p w14:paraId="12C07BBA">
            <w:pPr>
              <w:pStyle w:val="179"/>
              <w:jc w:val="both"/>
              <w:rPr>
                <w:rFonts w:hAnsi="宋体" w:cs="宋体"/>
              </w:rPr>
            </w:pPr>
            <w:r>
              <w:rPr>
                <w:rFonts w:hint="eastAsia" w:hAnsi="宋体" w:cs="宋体"/>
              </w:rPr>
              <w:t>1 章名标题居中，遇章分页；</w:t>
            </w:r>
          </w:p>
          <w:p w14:paraId="71BCBEB0">
            <w:pPr>
              <w:pStyle w:val="179"/>
              <w:jc w:val="both"/>
              <w:rPr>
                <w:rFonts w:hAnsi="宋体" w:cs="宋体"/>
              </w:rPr>
            </w:pPr>
            <w:r>
              <w:rPr>
                <w:rFonts w:hint="eastAsia" w:hAnsi="宋体" w:cs="宋体"/>
              </w:rPr>
              <w:t>1.1 节名标题顶格；</w:t>
            </w:r>
          </w:p>
          <w:p w14:paraId="3FB822E0">
            <w:pPr>
              <w:pStyle w:val="179"/>
              <w:jc w:val="both"/>
              <w:rPr>
                <w:rFonts w:hAnsi="宋体" w:cs="宋体"/>
              </w:rPr>
            </w:pPr>
            <w:r>
              <w:rPr>
                <w:rFonts w:hint="eastAsia" w:hAnsi="宋体" w:cs="宋体"/>
              </w:rPr>
              <w:t>1.1.1 条名标题顶格；</w:t>
            </w:r>
          </w:p>
          <w:p w14:paraId="3BEF6374">
            <w:pPr>
              <w:pStyle w:val="179"/>
              <w:jc w:val="both"/>
              <w:rPr>
                <w:rFonts w:hAnsi="宋体" w:cs="宋体"/>
              </w:rPr>
            </w:pPr>
            <w:r>
              <w:rPr>
                <w:rFonts w:hint="eastAsia" w:hAnsi="宋体" w:cs="宋体"/>
              </w:rPr>
              <w:t>1.1.1.1 条名标题顶格；</w:t>
            </w:r>
          </w:p>
          <w:p w14:paraId="47FC5EA5">
            <w:pPr>
              <w:pStyle w:val="179"/>
              <w:jc w:val="both"/>
            </w:pPr>
            <w:r>
              <w:rPr>
                <w:rFonts w:hint="eastAsia" w:hAnsi="宋体" w:cs="宋体"/>
              </w:rPr>
              <w:t>每段文字首行缩进2</w:t>
            </w:r>
            <w:r>
              <w:rPr>
                <w:rFonts w:hint="eastAsia"/>
              </w:rPr>
              <w:t>字符，回行时顶格，正文行间距为1.5倍行距；</w:t>
            </w:r>
          </w:p>
          <w:p w14:paraId="0F733CAB">
            <w:pPr>
              <w:pStyle w:val="179"/>
              <w:jc w:val="both"/>
            </w:pPr>
            <w:r>
              <w:rPr>
                <w:rFonts w:hint="eastAsia"/>
              </w:rPr>
              <w:t>表名位于表的上方，居中；</w:t>
            </w:r>
          </w:p>
          <w:p w14:paraId="71119F20">
            <w:pPr>
              <w:pStyle w:val="179"/>
              <w:jc w:val="both"/>
            </w:pPr>
            <w:r>
              <w:rPr>
                <w:rFonts w:hint="eastAsia"/>
              </w:rPr>
              <w:t>图名位于图的下方，居中</w:t>
            </w:r>
          </w:p>
        </w:tc>
      </w:tr>
      <w:tr w14:paraId="4D89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696" w:type="dxa"/>
            <w:vAlign w:val="center"/>
          </w:tcPr>
          <w:p w14:paraId="52129EF8">
            <w:pPr>
              <w:pStyle w:val="179"/>
              <w:rPr>
                <w:rFonts w:hAnsi="宋体" w:cs="宋体"/>
              </w:rPr>
            </w:pPr>
            <w:r>
              <w:rPr>
                <w:rFonts w:hint="eastAsia" w:hAnsi="宋体" w:cs="宋体"/>
              </w:rPr>
              <w:t>4</w:t>
            </w:r>
          </w:p>
        </w:tc>
        <w:tc>
          <w:tcPr>
            <w:tcW w:w="1255" w:type="dxa"/>
            <w:vAlign w:val="center"/>
          </w:tcPr>
          <w:p w14:paraId="0F916595">
            <w:pPr>
              <w:pStyle w:val="179"/>
            </w:pPr>
            <w:r>
              <w:rPr>
                <w:rFonts w:hint="eastAsia"/>
                <w:szCs w:val="18"/>
              </w:rPr>
              <w:t>附件、附图</w:t>
            </w:r>
          </w:p>
        </w:tc>
        <w:tc>
          <w:tcPr>
            <w:tcW w:w="7383" w:type="dxa"/>
            <w:vAlign w:val="center"/>
          </w:tcPr>
          <w:p w14:paraId="53CB481B">
            <w:pPr>
              <w:pStyle w:val="179"/>
              <w:jc w:val="both"/>
            </w:pPr>
            <w:r>
              <w:rPr>
                <w:rFonts w:hint="eastAsia"/>
                <w:szCs w:val="18"/>
              </w:rPr>
              <w:t>附件、附图的标题居中</w:t>
            </w:r>
          </w:p>
        </w:tc>
      </w:tr>
      <w:tr w14:paraId="47EB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0" w:type="dxa"/>
            <w:bottom w:w="0" w:type="dxa"/>
            <w:right w:w="100" w:type="dxa"/>
          </w:tblCellMar>
        </w:tblPrEx>
        <w:trPr>
          <w:jc w:val="center"/>
        </w:trPr>
        <w:tc>
          <w:tcPr>
            <w:tcW w:w="696" w:type="dxa"/>
            <w:vAlign w:val="center"/>
          </w:tcPr>
          <w:p w14:paraId="4B6671BF">
            <w:pPr>
              <w:pStyle w:val="179"/>
              <w:rPr>
                <w:rFonts w:hAnsi="宋体" w:cs="宋体"/>
              </w:rPr>
            </w:pPr>
            <w:r>
              <w:rPr>
                <w:rFonts w:hint="eastAsia" w:hAnsi="宋体" w:cs="宋体"/>
              </w:rPr>
              <w:t>5</w:t>
            </w:r>
          </w:p>
        </w:tc>
        <w:tc>
          <w:tcPr>
            <w:tcW w:w="1255" w:type="dxa"/>
            <w:vAlign w:val="center"/>
          </w:tcPr>
          <w:p w14:paraId="0D090609">
            <w:pPr>
              <w:pStyle w:val="179"/>
              <w:rPr>
                <w:szCs w:val="18"/>
              </w:rPr>
            </w:pPr>
            <w:r>
              <w:rPr>
                <w:rFonts w:hint="eastAsia"/>
                <w:szCs w:val="18"/>
              </w:rPr>
              <w:t>页码</w:t>
            </w:r>
          </w:p>
        </w:tc>
        <w:tc>
          <w:tcPr>
            <w:tcW w:w="7383" w:type="dxa"/>
            <w:vAlign w:val="center"/>
          </w:tcPr>
          <w:p w14:paraId="7374B2F3">
            <w:pPr>
              <w:pStyle w:val="179"/>
              <w:jc w:val="both"/>
            </w:pPr>
            <w:r>
              <w:rPr>
                <w:rFonts w:hint="eastAsia"/>
                <w:szCs w:val="18"/>
              </w:rPr>
              <w:t>页码位于页面底端，居中对齐</w:t>
            </w:r>
          </w:p>
        </w:tc>
      </w:tr>
    </w:tbl>
    <w:p w14:paraId="2AA62AA1">
      <w:pPr>
        <w:pStyle w:val="57"/>
        <w:ind w:firstLine="420"/>
      </w:pPr>
    </w:p>
    <w:p w14:paraId="40464791">
      <w:pPr>
        <w:pStyle w:val="57"/>
        <w:ind w:firstLine="420"/>
      </w:pPr>
      <w:r>
        <w:br w:type="page"/>
      </w:r>
    </w:p>
    <w:p w14:paraId="42F84F35">
      <w:pPr>
        <w:pStyle w:val="57"/>
        <w:ind w:firstLine="0" w:firstLineChars="0"/>
      </w:pPr>
    </w:p>
    <w:p w14:paraId="1821CDA3">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b/>
          <w:kern w:val="0"/>
          <w:sz w:val="44"/>
          <w:szCs w:val="24"/>
        </w:rPr>
      </w:pPr>
      <w:r>
        <mc:AlternateContent>
          <mc:Choice Requires="wps">
            <w:drawing>
              <wp:anchor distT="0" distB="0" distL="114300" distR="114300" simplePos="0" relativeHeight="251672576" behindDoc="0" locked="0" layoutInCell="1" allowOverlap="1">
                <wp:simplePos x="0" y="0"/>
                <wp:positionH relativeFrom="column">
                  <wp:posOffset>-43180</wp:posOffset>
                </wp:positionH>
                <wp:positionV relativeFrom="paragraph">
                  <wp:posOffset>635</wp:posOffset>
                </wp:positionV>
                <wp:extent cx="6176010" cy="7867015"/>
                <wp:effectExtent l="5080" t="5080" r="10160" b="5080"/>
                <wp:wrapNone/>
                <wp:docPr id="30" name="矩形 30"/>
                <wp:cNvGraphicFramePr/>
                <a:graphic xmlns:a="http://schemas.openxmlformats.org/drawingml/2006/main">
                  <a:graphicData uri="http://schemas.microsoft.com/office/word/2010/wordprocessingShape">
                    <wps:wsp>
                      <wps:cNvSpPr/>
                      <wps:spPr>
                        <a:xfrm>
                          <a:off x="0" y="0"/>
                          <a:ext cx="6176010" cy="786701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pt;margin-top:0.05pt;height:619.45pt;width:486.3pt;z-index:251672576;v-text-anchor:middle;mso-width-relative:page;mso-height-relative:page;" filled="f" stroked="t" coordsize="21600,21600" o:gfxdata="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oDbNtUAAAAIAQAADwAAAAAAAAABACAAAAAiAAAAZHJzL2Rvd25yZXYueG1sUEsBAhQA&#10;FAAAAAgAh07iQHrk43hnAgAAzQQAAA4AAAAAAAAAAQAgAAAAJAEAAGRycy9lMm9Eb2MueG1sUEsF&#10;BgAAAAAGAAYAWQEAAP0FAAAAAA==&#10;">
                <v:fill on="f" focussize="0,0"/>
                <v:stroke weight="0.5pt" color="#000000 [3213]" miterlimit="8" joinstyle="miter"/>
                <v:imagedata o:title=""/>
                <o:lock v:ext="edit" aspectratio="f"/>
              </v:rect>
            </w:pict>
          </mc:Fallback>
        </mc:AlternateContent>
      </w:r>
    </w:p>
    <w:p w14:paraId="0A971EF4">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b/>
          <w:kern w:val="0"/>
          <w:sz w:val="44"/>
          <w:szCs w:val="24"/>
        </w:rPr>
      </w:pPr>
    </w:p>
    <w:p w14:paraId="0E3870B8">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b/>
          <w:kern w:val="0"/>
          <w:sz w:val="44"/>
          <w:szCs w:val="24"/>
        </w:rPr>
      </w:pPr>
      <w:r>
        <w:rPr>
          <w:rFonts w:hint="eastAsia" w:ascii="宋体" w:hAnsi="宋体" w:cs="宋体"/>
          <w:b/>
          <w:kern w:val="0"/>
          <w:sz w:val="44"/>
          <w:szCs w:val="24"/>
        </w:rPr>
        <w:t>（委托单位名称）</w:t>
      </w:r>
    </w:p>
    <w:p w14:paraId="4F0ACE0F">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bCs/>
          <w:sz w:val="28"/>
          <w:szCs w:val="28"/>
        </w:rPr>
      </w:pPr>
      <w:r>
        <w:rPr>
          <w:rFonts w:ascii="Times New Roman" w:hAnsi="Times New Roman" w:eastAsia="仿宋_GB2312"/>
          <w:bCs/>
          <w:sz w:val="15"/>
          <w:szCs w:val="15"/>
        </w:rPr>
        <w:t>（居中，二号宋体</w:t>
      </w:r>
      <w:r>
        <w:rPr>
          <w:rFonts w:hint="eastAsia" w:ascii="Times New Roman" w:hAnsi="Times New Roman" w:eastAsia="仿宋_GB2312"/>
          <w:bCs/>
          <w:sz w:val="15"/>
          <w:szCs w:val="15"/>
        </w:rPr>
        <w:t>加粗</w:t>
      </w:r>
      <w:r>
        <w:rPr>
          <w:rFonts w:ascii="Times New Roman" w:hAnsi="Times New Roman" w:eastAsia="仿宋_GB2312"/>
          <w:bCs/>
          <w:sz w:val="15"/>
          <w:szCs w:val="15"/>
        </w:rPr>
        <w:t>）</w:t>
      </w:r>
    </w:p>
    <w:p w14:paraId="10FAD0F2">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44"/>
          <w:szCs w:val="24"/>
        </w:rPr>
      </w:pPr>
      <w:r>
        <w:rPr>
          <w:rFonts w:hint="eastAsia" w:ascii="宋体" w:hAnsi="宋体" w:cs="宋体"/>
          <w:b/>
          <w:kern w:val="0"/>
          <w:sz w:val="44"/>
          <w:szCs w:val="24"/>
        </w:rPr>
        <w:t>（评价项目名称）</w:t>
      </w:r>
    </w:p>
    <w:p w14:paraId="17F843C5">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bCs/>
          <w:sz w:val="28"/>
          <w:szCs w:val="28"/>
        </w:rPr>
      </w:pPr>
      <w:r>
        <w:rPr>
          <w:rFonts w:ascii="Times New Roman" w:hAnsi="Times New Roman" w:eastAsia="仿宋_GB2312"/>
          <w:bCs/>
          <w:sz w:val="15"/>
          <w:szCs w:val="15"/>
        </w:rPr>
        <w:t>（居中，二号宋体</w:t>
      </w:r>
      <w:r>
        <w:rPr>
          <w:rFonts w:hint="eastAsia" w:ascii="Times New Roman" w:hAnsi="Times New Roman" w:eastAsia="仿宋_GB2312"/>
          <w:bCs/>
          <w:sz w:val="15"/>
          <w:szCs w:val="15"/>
        </w:rPr>
        <w:t>加粗</w:t>
      </w:r>
      <w:r>
        <w:rPr>
          <w:rFonts w:ascii="Times New Roman" w:hAnsi="Times New Roman" w:eastAsia="仿宋_GB2312"/>
          <w:bCs/>
          <w:sz w:val="15"/>
          <w:szCs w:val="15"/>
        </w:rPr>
        <w:t>）</w:t>
      </w:r>
    </w:p>
    <w:p w14:paraId="09A995E0">
      <w:pPr>
        <w:pBdr>
          <w:top w:val="none" w:color="auto" w:sz="0" w:space="1"/>
          <w:left w:val="none" w:color="auto" w:sz="0" w:space="4"/>
          <w:bottom w:val="none" w:color="auto" w:sz="0" w:space="1"/>
          <w:right w:val="none" w:color="auto" w:sz="0" w:space="4"/>
        </w:pBdr>
        <w:adjustRightInd/>
        <w:spacing w:line="240" w:lineRule="auto"/>
        <w:jc w:val="center"/>
        <w:rPr>
          <w:rFonts w:ascii="黑体" w:hAnsi="黑体" w:eastAsia="黑体"/>
          <w:b/>
          <w:w w:val="90"/>
          <w:kern w:val="0"/>
          <w:sz w:val="52"/>
          <w:szCs w:val="24"/>
        </w:rPr>
      </w:pPr>
      <w:r>
        <w:rPr>
          <w:rFonts w:hint="eastAsia" w:ascii="黑体" w:hAnsi="黑体" w:eastAsia="黑体"/>
          <w:b/>
          <w:w w:val="90"/>
          <w:kern w:val="0"/>
          <w:sz w:val="52"/>
          <w:szCs w:val="24"/>
        </w:rPr>
        <w:t>安全现状评价报告</w:t>
      </w:r>
    </w:p>
    <w:p w14:paraId="342F9CDC">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sz w:val="24"/>
          <w:szCs w:val="24"/>
        </w:rPr>
      </w:pPr>
      <w:r>
        <w:rPr>
          <w:rFonts w:ascii="Times New Roman" w:hAnsi="Times New Roman" w:eastAsia="仿宋_GB2312"/>
          <w:bCs/>
          <w:sz w:val="15"/>
          <w:szCs w:val="15"/>
        </w:rPr>
        <w:t>（居中，一号</w:t>
      </w:r>
      <w:r>
        <w:rPr>
          <w:rFonts w:hint="eastAsia" w:ascii="Times New Roman" w:hAnsi="Times New Roman" w:eastAsia="仿宋_GB2312"/>
          <w:bCs/>
          <w:sz w:val="15"/>
          <w:szCs w:val="15"/>
        </w:rPr>
        <w:t>黑</w:t>
      </w:r>
      <w:r>
        <w:rPr>
          <w:rFonts w:ascii="Times New Roman" w:hAnsi="Times New Roman" w:eastAsia="仿宋_GB2312"/>
          <w:bCs/>
          <w:sz w:val="15"/>
          <w:szCs w:val="15"/>
        </w:rPr>
        <w:t>体</w:t>
      </w:r>
      <w:r>
        <w:rPr>
          <w:rFonts w:hint="eastAsia" w:ascii="Times New Roman" w:hAnsi="Times New Roman" w:eastAsia="仿宋_GB2312"/>
          <w:bCs/>
          <w:sz w:val="15"/>
          <w:szCs w:val="15"/>
        </w:rPr>
        <w:t>加粗</w:t>
      </w:r>
      <w:r>
        <w:rPr>
          <w:rFonts w:ascii="Times New Roman" w:hAnsi="Times New Roman" w:eastAsia="仿宋_GB2312"/>
          <w:bCs/>
          <w:sz w:val="15"/>
          <w:szCs w:val="15"/>
        </w:rPr>
        <w:t>）</w:t>
      </w:r>
    </w:p>
    <w:p w14:paraId="4DE8C840">
      <w:pPr>
        <w:pBdr>
          <w:top w:val="none" w:color="auto" w:sz="0" w:space="1"/>
          <w:left w:val="none" w:color="auto" w:sz="0" w:space="4"/>
          <w:bottom w:val="none" w:color="auto" w:sz="0" w:space="1"/>
          <w:right w:val="none" w:color="auto" w:sz="0" w:space="4"/>
        </w:pBdr>
        <w:adjustRightInd/>
        <w:spacing w:before="100" w:beforeAutospacing="1" w:after="100" w:afterAutospacing="1" w:line="240" w:lineRule="auto"/>
        <w:rPr>
          <w:rFonts w:ascii="Times New Roman" w:hAnsi="Times New Roman"/>
          <w:sz w:val="24"/>
          <w:szCs w:val="24"/>
        </w:rPr>
      </w:pPr>
    </w:p>
    <w:p w14:paraId="74EBCF0C">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36A95B1E">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4689789A">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38CEE85A">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2D32425B">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72355DDE">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sz w:val="44"/>
          <w:szCs w:val="44"/>
        </w:rPr>
      </w:pPr>
      <w:r>
        <w:rPr>
          <w:rFonts w:hint="eastAsia" w:ascii="宋体" w:hAnsi="宋体" w:cs="宋体"/>
          <w:b/>
          <w:sz w:val="44"/>
          <w:szCs w:val="44"/>
        </w:rPr>
        <w:t>（安全评价机构名称）</w:t>
      </w:r>
    </w:p>
    <w:p w14:paraId="31BCF0AA">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b/>
          <w:sz w:val="24"/>
          <w:szCs w:val="24"/>
        </w:rPr>
      </w:pPr>
      <w:r>
        <w:rPr>
          <w:rFonts w:hint="eastAsia" w:ascii="等线" w:hAnsi="等线" w:eastAsia="等线"/>
          <w:sz w:val="15"/>
          <w:szCs w:val="15"/>
        </w:rPr>
        <w:t>（居中，二号宋体加粗）</w:t>
      </w:r>
    </w:p>
    <w:p w14:paraId="07002240">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sz w:val="32"/>
          <w:szCs w:val="24"/>
        </w:rPr>
      </w:pPr>
      <w:r>
        <w:rPr>
          <w:rFonts w:hint="eastAsia" w:ascii="宋体" w:hAnsi="宋体" w:cs="宋体"/>
          <w:b/>
          <w:sz w:val="32"/>
          <w:szCs w:val="24"/>
        </w:rPr>
        <w:t>（安全评价机构资质证书编号）</w:t>
      </w:r>
    </w:p>
    <w:p w14:paraId="0FEAE1CF">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sz w:val="15"/>
          <w:szCs w:val="15"/>
        </w:rPr>
      </w:pPr>
      <w:r>
        <w:rPr>
          <w:rFonts w:hint="eastAsia" w:ascii="等线" w:hAnsi="等线" w:eastAsia="等线"/>
          <w:sz w:val="15"/>
          <w:szCs w:val="15"/>
        </w:rPr>
        <w:t>（居中，三号宋体加粗）</w:t>
      </w:r>
    </w:p>
    <w:p w14:paraId="448F674C">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sz w:val="32"/>
          <w:szCs w:val="32"/>
        </w:rPr>
      </w:pPr>
      <w:r>
        <w:rPr>
          <w:rFonts w:hint="eastAsia" w:ascii="宋体" w:hAnsi="宋体" w:cs="宋体"/>
          <w:b/>
          <w:sz w:val="32"/>
          <w:szCs w:val="32"/>
        </w:rPr>
        <w:t>（评价报告完成日期）</w:t>
      </w:r>
    </w:p>
    <w:p w14:paraId="4F90BDC0">
      <w:pPr>
        <w:pBdr>
          <w:top w:val="none" w:color="auto" w:sz="0" w:space="1"/>
          <w:left w:val="none" w:color="auto" w:sz="0" w:space="4"/>
          <w:bottom w:val="none" w:color="auto" w:sz="0" w:space="1"/>
          <w:right w:val="none" w:color="auto" w:sz="0" w:space="4"/>
        </w:pBdr>
        <w:adjustRightInd/>
        <w:spacing w:line="240" w:lineRule="auto"/>
        <w:jc w:val="center"/>
        <w:rPr>
          <w:rFonts w:ascii="等线" w:hAnsi="等线" w:eastAsia="等线"/>
          <w:sz w:val="15"/>
          <w:szCs w:val="15"/>
        </w:rPr>
      </w:pPr>
      <w:r>
        <w:rPr>
          <w:rFonts w:hint="eastAsia" w:ascii="等线" w:hAnsi="等线" w:eastAsia="等线"/>
          <w:sz w:val="15"/>
          <w:szCs w:val="15"/>
        </w:rPr>
        <w:t>（居中，三号宋体加粗）</w:t>
      </w:r>
    </w:p>
    <w:p w14:paraId="24A76696">
      <w:pPr>
        <w:pStyle w:val="2"/>
        <w:ind w:firstLine="150"/>
        <w:rPr>
          <w:rFonts w:ascii="等线" w:hAnsi="等线" w:eastAsia="等线"/>
          <w:sz w:val="15"/>
          <w:szCs w:val="15"/>
        </w:rPr>
      </w:pPr>
    </w:p>
    <w:p w14:paraId="41C80BE7">
      <w:pPr>
        <w:pStyle w:val="2"/>
        <w:ind w:firstLine="150"/>
        <w:rPr>
          <w:rFonts w:ascii="等线" w:hAnsi="等线" w:eastAsia="等线"/>
          <w:sz w:val="15"/>
          <w:szCs w:val="15"/>
        </w:rPr>
      </w:pPr>
    </w:p>
    <w:p w14:paraId="7FF8AD48">
      <w:pPr>
        <w:pStyle w:val="2"/>
        <w:ind w:firstLine="150"/>
        <w:rPr>
          <w:rFonts w:ascii="等线" w:hAnsi="等线" w:eastAsia="等线"/>
          <w:sz w:val="15"/>
          <w:szCs w:val="15"/>
        </w:rPr>
      </w:pPr>
    </w:p>
    <w:p w14:paraId="039EC43A">
      <w:pPr>
        <w:pStyle w:val="2"/>
        <w:ind w:firstLine="150"/>
        <w:rPr>
          <w:rFonts w:ascii="等线" w:hAnsi="等线" w:eastAsia="等线"/>
          <w:sz w:val="15"/>
          <w:szCs w:val="15"/>
        </w:rPr>
      </w:pPr>
    </w:p>
    <w:p w14:paraId="0D6A5A40">
      <w:pPr>
        <w:pStyle w:val="2"/>
        <w:ind w:firstLine="150"/>
        <w:rPr>
          <w:rFonts w:ascii="等线" w:hAnsi="等线" w:eastAsia="等线"/>
          <w:sz w:val="15"/>
          <w:szCs w:val="15"/>
        </w:rPr>
      </w:pPr>
    </w:p>
    <w:p w14:paraId="0DE00CE8">
      <w:pPr>
        <w:pStyle w:val="2"/>
        <w:ind w:firstLine="150"/>
        <w:rPr>
          <w:rFonts w:ascii="等线" w:hAnsi="等线" w:eastAsia="等线"/>
          <w:sz w:val="15"/>
          <w:szCs w:val="15"/>
        </w:rPr>
      </w:pPr>
    </w:p>
    <w:p w14:paraId="6F86991C">
      <w:pPr>
        <w:pStyle w:val="2"/>
        <w:ind w:firstLine="150"/>
        <w:rPr>
          <w:rFonts w:ascii="等线" w:hAnsi="等线" w:eastAsia="等线"/>
          <w:sz w:val="15"/>
          <w:szCs w:val="15"/>
        </w:rPr>
      </w:pPr>
    </w:p>
    <w:p w14:paraId="64C0CC79">
      <w:pPr>
        <w:pStyle w:val="2"/>
        <w:ind w:firstLine="150"/>
        <w:rPr>
          <w:rFonts w:ascii="等线" w:hAnsi="等线" w:eastAsia="等线"/>
          <w:sz w:val="15"/>
          <w:szCs w:val="15"/>
        </w:rPr>
      </w:pPr>
    </w:p>
    <w:p w14:paraId="75E431C4">
      <w:pPr>
        <w:pStyle w:val="2"/>
        <w:ind w:firstLine="0" w:firstLineChars="0"/>
        <w:rPr>
          <w:rFonts w:ascii="等线" w:hAnsi="等线" w:eastAsia="等线"/>
          <w:sz w:val="15"/>
          <w:szCs w:val="15"/>
        </w:rPr>
      </w:pPr>
    </w:p>
    <w:p w14:paraId="6B707196">
      <w:pPr>
        <w:pStyle w:val="84"/>
        <w:numPr>
          <w:ilvl w:val="0"/>
          <w:numId w:val="0"/>
        </w:numPr>
        <w:spacing w:before="120" w:after="120"/>
      </w:pPr>
      <w:r>
        <w:rPr>
          <w:rFonts w:hint="eastAsia"/>
        </w:rPr>
        <w:t>图C.1 封面式样</w:t>
      </w:r>
    </w:p>
    <w:p w14:paraId="1AFCED4A">
      <w:pPr>
        <w:pBdr>
          <w:top w:val="none" w:color="auto" w:sz="0" w:space="1"/>
          <w:left w:val="none" w:color="auto" w:sz="0" w:space="4"/>
          <w:bottom w:val="none" w:color="auto" w:sz="0" w:space="1"/>
          <w:right w:val="none" w:color="auto" w:sz="0" w:space="4"/>
        </w:pBdr>
        <w:jc w:val="center"/>
        <w:rPr>
          <w:rFonts w:ascii="等线" w:hAnsi="等线" w:eastAsia="等线"/>
          <w:b/>
          <w:kern w:val="0"/>
          <w:sz w:val="44"/>
        </w:rPr>
      </w:pPr>
      <w:r>
        <mc:AlternateContent>
          <mc:Choice Requires="wps">
            <w:drawing>
              <wp:anchor distT="0" distB="0" distL="114300" distR="114300" simplePos="0" relativeHeight="251673600" behindDoc="0" locked="0" layoutInCell="1" allowOverlap="1">
                <wp:simplePos x="0" y="0"/>
                <wp:positionH relativeFrom="column">
                  <wp:posOffset>-52705</wp:posOffset>
                </wp:positionH>
                <wp:positionV relativeFrom="paragraph">
                  <wp:posOffset>86360</wp:posOffset>
                </wp:positionV>
                <wp:extent cx="6116955" cy="7912735"/>
                <wp:effectExtent l="5080" t="4445" r="12065" b="7620"/>
                <wp:wrapNone/>
                <wp:docPr id="31" name="矩形 31"/>
                <wp:cNvGraphicFramePr/>
                <a:graphic xmlns:a="http://schemas.openxmlformats.org/drawingml/2006/main">
                  <a:graphicData uri="http://schemas.microsoft.com/office/word/2010/wordprocessingShape">
                    <wps:wsp>
                      <wps:cNvSpPr/>
                      <wps:spPr>
                        <a:xfrm>
                          <a:off x="0" y="0"/>
                          <a:ext cx="6116955" cy="791273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5pt;margin-top:6.8pt;height:623.05pt;width:481.65pt;z-index:251673600;v-text-anchor:middle;mso-width-relative:page;mso-height-relative:page;" filled="f" stroked="t" coordsize="21600,21600" o:gfxdata="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lXtmP2AAAAAoBAAAPAAAAAAAAAAEAIAAAACIAAABkcnMvZG93bnJldi54bWxQ&#10;SwECFAAUAAAACACHTuJA+VFDLWkCAADNBAAADgAAAAAAAAABACAAAAAnAQAAZHJzL2Uyb0RvYy54&#10;bWxQSwUGAAAAAAYABgBZAQAAAgYAAAAA&#10;">
                <v:fill on="f" focussize="0,0"/>
                <v:stroke weight="0.5pt" color="#000000 [3213]" miterlimit="8" joinstyle="miter"/>
                <v:imagedata o:title=""/>
                <o:lock v:ext="edit" aspectratio="f"/>
              </v:rect>
            </w:pict>
          </mc:Fallback>
        </mc:AlternateContent>
      </w:r>
    </w:p>
    <w:p w14:paraId="03393B3F">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32"/>
          <w:szCs w:val="32"/>
        </w:rPr>
      </w:pPr>
    </w:p>
    <w:p w14:paraId="621408DE">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32"/>
          <w:szCs w:val="32"/>
        </w:rPr>
      </w:pPr>
    </w:p>
    <w:p w14:paraId="5B99511D">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32"/>
          <w:szCs w:val="32"/>
        </w:rPr>
      </w:pPr>
      <w:r>
        <w:rPr>
          <w:rFonts w:hint="eastAsia" w:ascii="宋体" w:hAnsi="宋体" w:cs="宋体"/>
          <w:b/>
          <w:kern w:val="0"/>
          <w:sz w:val="32"/>
          <w:szCs w:val="32"/>
        </w:rPr>
        <w:t xml:space="preserve">（委托单位名称） </w:t>
      </w:r>
    </w:p>
    <w:p w14:paraId="3F1A696E">
      <w:pPr>
        <w:pBdr>
          <w:top w:val="none" w:color="auto" w:sz="0" w:space="1"/>
          <w:left w:val="none" w:color="auto" w:sz="0" w:space="4"/>
          <w:bottom w:val="none" w:color="auto" w:sz="0" w:space="1"/>
          <w:right w:val="none" w:color="auto" w:sz="0" w:space="4"/>
        </w:pBdr>
        <w:adjustRightInd/>
        <w:spacing w:line="240" w:lineRule="auto"/>
        <w:jc w:val="center"/>
        <w:rPr>
          <w:rFonts w:eastAsia="仿宋_GB2312"/>
          <w:bCs/>
          <w:sz w:val="28"/>
          <w:szCs w:val="28"/>
        </w:rPr>
      </w:pPr>
      <w:r>
        <w:rPr>
          <w:rFonts w:eastAsia="仿宋_GB2312"/>
          <w:bCs/>
          <w:sz w:val="15"/>
          <w:szCs w:val="15"/>
        </w:rPr>
        <w:t>（居中，</w:t>
      </w:r>
      <w:r>
        <w:rPr>
          <w:rFonts w:hint="eastAsia" w:eastAsia="仿宋_GB2312"/>
          <w:bCs/>
          <w:sz w:val="15"/>
          <w:szCs w:val="15"/>
        </w:rPr>
        <w:t>三</w:t>
      </w:r>
      <w:r>
        <w:rPr>
          <w:rFonts w:eastAsia="仿宋_GB2312"/>
          <w:bCs/>
          <w:sz w:val="15"/>
          <w:szCs w:val="15"/>
        </w:rPr>
        <w:t>号宋体</w:t>
      </w:r>
      <w:r>
        <w:rPr>
          <w:rFonts w:hint="eastAsia" w:eastAsia="仿宋_GB2312"/>
          <w:bCs/>
          <w:sz w:val="15"/>
          <w:szCs w:val="15"/>
        </w:rPr>
        <w:t>加粗</w:t>
      </w:r>
      <w:r>
        <w:rPr>
          <w:rFonts w:eastAsia="仿宋_GB2312"/>
          <w:bCs/>
          <w:sz w:val="15"/>
          <w:szCs w:val="15"/>
        </w:rPr>
        <w:t>）</w:t>
      </w:r>
    </w:p>
    <w:p w14:paraId="08B15EA5">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44"/>
          <w:szCs w:val="44"/>
        </w:rPr>
      </w:pPr>
      <w:r>
        <w:rPr>
          <w:rFonts w:hint="eastAsia" w:ascii="宋体" w:hAnsi="宋体" w:cs="宋体"/>
          <w:b/>
          <w:kern w:val="0"/>
          <w:sz w:val="44"/>
          <w:szCs w:val="44"/>
        </w:rPr>
        <w:t>（评价项目名称）</w:t>
      </w:r>
    </w:p>
    <w:p w14:paraId="252F4E9C">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bCs/>
          <w:sz w:val="15"/>
          <w:szCs w:val="15"/>
        </w:rPr>
      </w:pPr>
      <w:r>
        <w:rPr>
          <w:rFonts w:ascii="Times New Roman" w:hAnsi="Times New Roman" w:eastAsia="仿宋_GB2312"/>
          <w:bCs/>
          <w:sz w:val="15"/>
          <w:szCs w:val="15"/>
        </w:rPr>
        <w:t>（居中，</w:t>
      </w:r>
      <w:r>
        <w:rPr>
          <w:rFonts w:hint="eastAsia" w:ascii="Times New Roman" w:hAnsi="Times New Roman" w:eastAsia="仿宋_GB2312"/>
          <w:bCs/>
          <w:sz w:val="15"/>
          <w:szCs w:val="15"/>
        </w:rPr>
        <w:t>二</w:t>
      </w:r>
      <w:r>
        <w:rPr>
          <w:rFonts w:ascii="Times New Roman" w:hAnsi="Times New Roman" w:eastAsia="仿宋_GB2312"/>
          <w:bCs/>
          <w:sz w:val="15"/>
          <w:szCs w:val="15"/>
        </w:rPr>
        <w:t>号宋体</w:t>
      </w:r>
      <w:r>
        <w:rPr>
          <w:rFonts w:hint="eastAsia" w:ascii="Times New Roman" w:hAnsi="Times New Roman" w:eastAsia="仿宋_GB2312"/>
          <w:bCs/>
          <w:sz w:val="15"/>
          <w:szCs w:val="15"/>
        </w:rPr>
        <w:t>加粗</w:t>
      </w:r>
      <w:r>
        <w:rPr>
          <w:rFonts w:ascii="Times New Roman" w:hAnsi="Times New Roman" w:eastAsia="仿宋_GB2312"/>
          <w:bCs/>
          <w:sz w:val="15"/>
          <w:szCs w:val="15"/>
        </w:rPr>
        <w:t>）</w:t>
      </w:r>
    </w:p>
    <w:p w14:paraId="340D126A">
      <w:pPr>
        <w:pBdr>
          <w:top w:val="none" w:color="auto" w:sz="0" w:space="1"/>
          <w:left w:val="none" w:color="auto" w:sz="0" w:space="4"/>
          <w:bottom w:val="none" w:color="auto" w:sz="0" w:space="1"/>
          <w:right w:val="none" w:color="auto" w:sz="0" w:space="4"/>
        </w:pBdr>
        <w:adjustRightInd/>
        <w:spacing w:line="240" w:lineRule="auto"/>
        <w:jc w:val="center"/>
        <w:rPr>
          <w:rFonts w:ascii="宋体" w:hAnsi="宋体" w:cs="宋体"/>
          <w:b/>
          <w:kern w:val="0"/>
          <w:sz w:val="44"/>
          <w:szCs w:val="44"/>
        </w:rPr>
      </w:pPr>
      <w:r>
        <w:rPr>
          <w:rFonts w:hint="eastAsia" w:ascii="宋体" w:hAnsi="宋体" w:cs="宋体"/>
          <w:b/>
          <w:kern w:val="0"/>
          <w:sz w:val="44"/>
          <w:szCs w:val="44"/>
        </w:rPr>
        <w:t>安全现状评价报告</w:t>
      </w:r>
    </w:p>
    <w:p w14:paraId="509D61F3">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bCs/>
          <w:sz w:val="15"/>
          <w:szCs w:val="15"/>
        </w:rPr>
      </w:pPr>
      <w:r>
        <w:rPr>
          <w:rFonts w:ascii="Times New Roman" w:hAnsi="Times New Roman" w:eastAsia="仿宋_GB2312"/>
          <w:bCs/>
          <w:sz w:val="15"/>
          <w:szCs w:val="15"/>
        </w:rPr>
        <w:t>（居中，</w:t>
      </w:r>
      <w:r>
        <w:rPr>
          <w:rFonts w:hint="eastAsia" w:ascii="Times New Roman" w:hAnsi="Times New Roman" w:eastAsia="仿宋_GB2312"/>
          <w:bCs/>
          <w:sz w:val="15"/>
          <w:szCs w:val="15"/>
        </w:rPr>
        <w:t>二</w:t>
      </w:r>
      <w:r>
        <w:rPr>
          <w:rFonts w:ascii="Times New Roman" w:hAnsi="Times New Roman" w:eastAsia="仿宋_GB2312"/>
          <w:bCs/>
          <w:sz w:val="15"/>
          <w:szCs w:val="15"/>
        </w:rPr>
        <w:t>号宋体</w:t>
      </w:r>
      <w:r>
        <w:rPr>
          <w:rFonts w:hint="eastAsia" w:ascii="Times New Roman" w:hAnsi="Times New Roman" w:eastAsia="仿宋_GB2312"/>
          <w:bCs/>
          <w:sz w:val="15"/>
          <w:szCs w:val="15"/>
        </w:rPr>
        <w:t>加粗</w:t>
      </w:r>
      <w:r>
        <w:rPr>
          <w:rFonts w:ascii="Times New Roman" w:hAnsi="Times New Roman" w:eastAsia="仿宋_GB2312"/>
          <w:bCs/>
          <w:sz w:val="15"/>
          <w:szCs w:val="15"/>
        </w:rPr>
        <w:t>）</w:t>
      </w:r>
    </w:p>
    <w:p w14:paraId="65173C8E">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r>
        <w:rPr>
          <w:rFonts w:ascii="Times New Roman" w:hAnsi="Times New Roman"/>
          <w:sz w:val="24"/>
          <w:szCs w:val="24"/>
        </w:rPr>
        <w:t> </w:t>
      </w:r>
    </w:p>
    <w:p w14:paraId="5E63B76F">
      <w:pPr>
        <w:pBdr>
          <w:top w:val="none" w:color="auto" w:sz="0" w:space="1"/>
          <w:left w:val="none" w:color="auto" w:sz="0" w:space="4"/>
          <w:bottom w:val="none" w:color="auto" w:sz="0" w:space="1"/>
          <w:right w:val="none" w:color="auto" w:sz="0" w:space="4"/>
        </w:pBdr>
        <w:adjustRightInd/>
        <w:spacing w:before="100" w:beforeAutospacing="1" w:after="100" w:afterAutospacing="1" w:line="360" w:lineRule="auto"/>
        <w:rPr>
          <w:rFonts w:ascii="Times New Roman" w:hAnsi="Times New Roman"/>
          <w:sz w:val="24"/>
          <w:szCs w:val="24"/>
        </w:rPr>
      </w:pPr>
    </w:p>
    <w:p w14:paraId="643EFC3D">
      <w:pPr>
        <w:pBdr>
          <w:top w:val="none" w:color="auto" w:sz="0" w:space="1"/>
          <w:left w:val="none" w:color="auto" w:sz="0" w:space="4"/>
          <w:bottom w:val="none" w:color="auto" w:sz="0" w:space="1"/>
          <w:right w:val="none" w:color="auto" w:sz="0" w:space="4"/>
        </w:pBdr>
        <w:adjustRightInd/>
        <w:spacing w:line="600" w:lineRule="exact"/>
        <w:jc w:val="center"/>
        <w:rPr>
          <w:rFonts w:ascii="等线" w:hAnsi="等线" w:eastAsia="等线"/>
          <w:b/>
          <w:sz w:val="32"/>
          <w:szCs w:val="24"/>
        </w:rPr>
      </w:pPr>
      <w:r>
        <w:rPr>
          <w:rFonts w:hint="eastAsia" w:ascii="宋体" w:hAnsi="宋体" w:cs="宋体"/>
          <w:sz w:val="28"/>
          <w:szCs w:val="28"/>
        </w:rPr>
        <w:t>法定代表人：</w:t>
      </w:r>
      <w:r>
        <w:rPr>
          <w:rFonts w:ascii="Times New Roman" w:hAnsi="Times New Roman" w:eastAsia="仿宋_GB2312"/>
          <w:bCs/>
          <w:sz w:val="15"/>
          <w:szCs w:val="15"/>
        </w:rPr>
        <w:t>（</w:t>
      </w:r>
      <w:r>
        <w:rPr>
          <w:rFonts w:hint="eastAsia" w:ascii="Times New Roman" w:hAnsi="Times New Roman" w:eastAsia="仿宋_GB2312"/>
          <w:bCs/>
          <w:sz w:val="15"/>
          <w:szCs w:val="15"/>
        </w:rPr>
        <w:t>居中，四号宋体</w:t>
      </w:r>
      <w:r>
        <w:rPr>
          <w:rFonts w:ascii="Times New Roman" w:hAnsi="Times New Roman" w:eastAsia="仿宋_GB2312"/>
          <w:bCs/>
          <w:sz w:val="15"/>
          <w:szCs w:val="15"/>
        </w:rPr>
        <w:t>）</w:t>
      </w:r>
    </w:p>
    <w:p w14:paraId="70B57AD4">
      <w:pPr>
        <w:pBdr>
          <w:top w:val="none" w:color="auto" w:sz="0" w:space="1"/>
          <w:left w:val="none" w:color="auto" w:sz="0" w:space="4"/>
          <w:bottom w:val="none" w:color="auto" w:sz="0" w:space="1"/>
          <w:right w:val="none" w:color="auto" w:sz="0" w:space="4"/>
        </w:pBdr>
        <w:adjustRightInd/>
        <w:spacing w:line="600" w:lineRule="exact"/>
        <w:jc w:val="center"/>
        <w:rPr>
          <w:rFonts w:ascii="等线" w:hAnsi="等线" w:eastAsia="等线"/>
          <w:b/>
          <w:sz w:val="32"/>
          <w:szCs w:val="24"/>
        </w:rPr>
      </w:pPr>
      <w:r>
        <w:rPr>
          <w:rFonts w:hint="eastAsia" w:ascii="宋体" w:hAnsi="宋体" w:cs="宋体"/>
          <w:sz w:val="28"/>
          <w:szCs w:val="28"/>
        </w:rPr>
        <w:t>技术负责人：</w:t>
      </w:r>
      <w:r>
        <w:rPr>
          <w:rFonts w:ascii="Times New Roman" w:hAnsi="Times New Roman" w:eastAsia="仿宋_GB2312"/>
          <w:bCs/>
          <w:sz w:val="15"/>
          <w:szCs w:val="15"/>
        </w:rPr>
        <w:t>（</w:t>
      </w:r>
      <w:r>
        <w:rPr>
          <w:rFonts w:hint="eastAsia" w:ascii="Times New Roman" w:hAnsi="Times New Roman" w:eastAsia="仿宋_GB2312"/>
          <w:bCs/>
          <w:sz w:val="15"/>
          <w:szCs w:val="15"/>
        </w:rPr>
        <w:t>居中，四号宋体</w:t>
      </w:r>
      <w:r>
        <w:rPr>
          <w:rFonts w:ascii="Times New Roman" w:hAnsi="Times New Roman" w:eastAsia="仿宋_GB2312"/>
          <w:bCs/>
          <w:sz w:val="15"/>
          <w:szCs w:val="15"/>
        </w:rPr>
        <w:t>）</w:t>
      </w:r>
    </w:p>
    <w:p w14:paraId="4096D4BE">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r>
        <w:rPr>
          <w:rFonts w:hint="eastAsia" w:ascii="宋体" w:hAnsi="宋体" w:cs="宋体"/>
          <w:sz w:val="28"/>
          <w:szCs w:val="28"/>
        </w:rPr>
        <w:t>评价项目负责人：</w:t>
      </w:r>
      <w:r>
        <w:rPr>
          <w:rFonts w:ascii="Times New Roman" w:hAnsi="Times New Roman" w:eastAsia="仿宋_GB2312"/>
          <w:bCs/>
          <w:sz w:val="15"/>
          <w:szCs w:val="15"/>
        </w:rPr>
        <w:t>（</w:t>
      </w:r>
      <w:r>
        <w:rPr>
          <w:rFonts w:hint="eastAsia" w:ascii="Times New Roman" w:hAnsi="Times New Roman" w:eastAsia="仿宋_GB2312"/>
          <w:bCs/>
          <w:sz w:val="15"/>
          <w:szCs w:val="15"/>
        </w:rPr>
        <w:t>居中，四号宋体</w:t>
      </w:r>
      <w:r>
        <w:rPr>
          <w:rFonts w:ascii="Times New Roman" w:hAnsi="Times New Roman" w:eastAsia="仿宋_GB2312"/>
          <w:bCs/>
          <w:sz w:val="15"/>
          <w:szCs w:val="15"/>
        </w:rPr>
        <w:t>）</w:t>
      </w:r>
    </w:p>
    <w:p w14:paraId="7747BF26">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p>
    <w:p w14:paraId="273BD31D">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p>
    <w:p w14:paraId="4B5121F9">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p>
    <w:p w14:paraId="56A4A612">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p>
    <w:p w14:paraId="4923B7A9">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eastAsia="仿宋_GB2312"/>
          <w:bCs/>
          <w:sz w:val="15"/>
          <w:szCs w:val="15"/>
        </w:rPr>
      </w:pPr>
    </w:p>
    <w:p w14:paraId="431737B6">
      <w:pPr>
        <w:pBdr>
          <w:top w:val="none" w:color="auto" w:sz="0" w:space="1"/>
          <w:left w:val="none" w:color="auto" w:sz="0" w:space="4"/>
          <w:bottom w:val="none" w:color="auto" w:sz="0" w:space="1"/>
          <w:right w:val="none" w:color="auto" w:sz="0" w:space="4"/>
        </w:pBdr>
        <w:adjustRightInd/>
        <w:spacing w:line="600" w:lineRule="exact"/>
        <w:jc w:val="center"/>
        <w:rPr>
          <w:rFonts w:ascii="Times New Roman" w:hAnsi="Times New Roman"/>
          <w:b/>
          <w:bCs/>
          <w:sz w:val="44"/>
          <w:szCs w:val="44"/>
        </w:rPr>
      </w:pPr>
      <w:r>
        <w:rPr>
          <w:rFonts w:hint="eastAsia" w:ascii="宋体" w:hAnsi="宋体" w:cs="宋体"/>
          <w:b/>
          <w:sz w:val="24"/>
          <w:szCs w:val="24"/>
        </w:rPr>
        <w:t>（评价报告完成日期）</w:t>
      </w:r>
      <w:r>
        <w:rPr>
          <w:rFonts w:ascii="Times New Roman" w:hAnsi="Times New Roman" w:eastAsia="仿宋_GB2312"/>
          <w:bCs/>
          <w:sz w:val="15"/>
          <w:szCs w:val="15"/>
        </w:rPr>
        <w:t>（</w:t>
      </w:r>
      <w:r>
        <w:rPr>
          <w:rFonts w:hint="eastAsia" w:ascii="Times New Roman" w:hAnsi="Times New Roman" w:eastAsia="仿宋_GB2312"/>
          <w:bCs/>
          <w:sz w:val="15"/>
          <w:szCs w:val="15"/>
        </w:rPr>
        <w:t>居中，小四号宋体加粗</w:t>
      </w:r>
      <w:r>
        <w:rPr>
          <w:rFonts w:ascii="Times New Roman" w:hAnsi="Times New Roman" w:eastAsia="仿宋_GB2312"/>
          <w:bCs/>
          <w:sz w:val="15"/>
          <w:szCs w:val="15"/>
        </w:rPr>
        <w:t>）</w:t>
      </w:r>
    </w:p>
    <w:p w14:paraId="59886800">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sz w:val="32"/>
          <w:szCs w:val="24"/>
        </w:rPr>
      </w:pPr>
      <w:r>
        <w:rPr>
          <w:rFonts w:hint="eastAsia" w:ascii="宋体" w:hAnsi="宋体" w:cs="宋体"/>
        </w:rPr>
        <w:t>（安全评价机构公章）</w:t>
      </w:r>
    </w:p>
    <w:p w14:paraId="0D8EAB92">
      <w:pPr>
        <w:pBdr>
          <w:top w:val="none" w:color="auto" w:sz="0" w:space="1"/>
          <w:left w:val="none" w:color="auto" w:sz="0" w:space="4"/>
          <w:bottom w:val="none" w:color="auto" w:sz="0" w:space="1"/>
          <w:right w:val="none" w:color="auto" w:sz="0" w:space="4"/>
        </w:pBdr>
        <w:adjustRightInd/>
        <w:spacing w:line="240" w:lineRule="auto"/>
        <w:jc w:val="center"/>
        <w:rPr>
          <w:rFonts w:ascii="Times New Roman" w:hAnsi="Times New Roman" w:eastAsia="仿宋_GB2312"/>
          <w:sz w:val="32"/>
          <w:szCs w:val="24"/>
        </w:rPr>
      </w:pPr>
    </w:p>
    <w:p w14:paraId="31EAE0B9">
      <w:pPr>
        <w:widowControl/>
        <w:tabs>
          <w:tab w:val="left" w:pos="360"/>
        </w:tabs>
        <w:adjustRightInd/>
        <w:spacing w:before="120" w:beforeLines="50" w:line="240" w:lineRule="auto"/>
        <w:jc w:val="center"/>
        <w:rPr>
          <w:rFonts w:ascii="黑体" w:hAnsi="Times New Roman" w:eastAsia="黑体"/>
          <w:kern w:val="0"/>
          <w:szCs w:val="20"/>
        </w:rPr>
      </w:pPr>
    </w:p>
    <w:p w14:paraId="1B4F3808">
      <w:pPr>
        <w:widowControl/>
        <w:tabs>
          <w:tab w:val="left" w:pos="360"/>
        </w:tabs>
        <w:adjustRightInd/>
        <w:spacing w:before="120" w:beforeLines="50" w:line="240" w:lineRule="auto"/>
        <w:jc w:val="center"/>
        <w:rPr>
          <w:rFonts w:ascii="黑体" w:hAnsi="Times New Roman" w:eastAsia="黑体"/>
          <w:kern w:val="0"/>
          <w:szCs w:val="20"/>
        </w:rPr>
      </w:pPr>
    </w:p>
    <w:p w14:paraId="1D788B1A">
      <w:pPr>
        <w:pStyle w:val="57"/>
        <w:ind w:firstLine="420"/>
      </w:pPr>
    </w:p>
    <w:p w14:paraId="7226BDF7">
      <w:pPr>
        <w:pStyle w:val="57"/>
        <w:ind w:firstLine="420"/>
      </w:pPr>
    </w:p>
    <w:p w14:paraId="3DAB711E">
      <w:pPr>
        <w:pStyle w:val="57"/>
        <w:ind w:firstLine="420"/>
      </w:pPr>
    </w:p>
    <w:p w14:paraId="1C6FFC35">
      <w:pPr>
        <w:pStyle w:val="84"/>
        <w:numPr>
          <w:ilvl w:val="0"/>
          <w:numId w:val="0"/>
        </w:numPr>
        <w:spacing w:before="120" w:after="120"/>
      </w:pPr>
      <w:r>
        <w:rPr>
          <w:rFonts w:hint="eastAsia"/>
        </w:rPr>
        <w:t>图C.2 著录项首页</w:t>
      </w:r>
    </w:p>
    <w:p w14:paraId="1707D2C2">
      <w:pPr>
        <w:pStyle w:val="57"/>
        <w:ind w:firstLine="420"/>
      </w:pPr>
    </w:p>
    <w:p w14:paraId="34227321">
      <w:pPr>
        <w:pStyle w:val="78"/>
        <w:numPr>
          <w:ilvl w:val="0"/>
          <w:numId w:val="0"/>
        </w:numPr>
        <w:spacing w:before="120" w:after="120"/>
      </w:pPr>
      <w:r>
        <w:rPr>
          <w:rFonts w:hint="eastAsia"/>
        </w:rPr>
        <w:t xml:space="preserve">表C.2 </w:t>
      </w:r>
      <w:r>
        <w:t>著录项次页</w:t>
      </w:r>
    </w:p>
    <w:p w14:paraId="29323120">
      <w:pPr>
        <w:widowControl/>
        <w:spacing w:line="440" w:lineRule="exact"/>
        <w:jc w:val="center"/>
        <w:rPr>
          <w:rFonts w:ascii="Times New Roman" w:hAnsi="Times New Roman"/>
          <w:b/>
          <w:kern w:val="0"/>
          <w:sz w:val="32"/>
        </w:rPr>
      </w:pPr>
      <w:r>
        <w:rPr>
          <w:rFonts w:ascii="Times New Roman" w:hAnsi="Times New Roman"/>
          <w:b/>
          <w:spacing w:val="1"/>
          <w:kern w:val="0"/>
          <w:sz w:val="32"/>
        </w:rPr>
        <w:t>评价项目名称</w:t>
      </w:r>
      <w:r>
        <w:rPr>
          <w:rFonts w:ascii="Times New Roman" w:hAnsi="Times New Roman"/>
          <w:b/>
          <w:kern w:val="0"/>
        </w:rPr>
        <w:t>(三号宋体加粗)</w:t>
      </w:r>
    </w:p>
    <w:p w14:paraId="70068D2B">
      <w:pPr>
        <w:spacing w:line="480" w:lineRule="auto"/>
        <w:jc w:val="center"/>
      </w:pPr>
      <w:r>
        <w:rPr>
          <w:rFonts w:hint="eastAsia"/>
          <w:b/>
          <w:sz w:val="32"/>
          <w:szCs w:val="32"/>
        </w:rPr>
        <w:t>安全现状评价项目组成员</w:t>
      </w:r>
      <w:r>
        <w:rPr>
          <w:rFonts w:ascii="Times New Roman" w:hAnsi="Times New Roman"/>
          <w:b/>
          <w:kern w:val="0"/>
        </w:rPr>
        <w:t>(</w:t>
      </w:r>
      <w:r>
        <w:rPr>
          <w:rFonts w:hint="eastAsia" w:ascii="Times New Roman" w:hAnsi="Times New Roman"/>
          <w:b/>
          <w:kern w:val="0"/>
        </w:rPr>
        <w:t>三号宋体加粗</w:t>
      </w:r>
      <w:r>
        <w:rPr>
          <w:rFonts w:ascii="Times New Roman" w:hAnsi="Times New Roman"/>
          <w:b/>
          <w:kern w:val="0"/>
        </w:rPr>
        <w:t>)</w:t>
      </w:r>
    </w:p>
    <w:tbl>
      <w:tblPr>
        <w:tblStyle w:val="27"/>
        <w:tblW w:w="9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3"/>
        <w:gridCol w:w="947"/>
        <w:gridCol w:w="1793"/>
        <w:gridCol w:w="1230"/>
        <w:gridCol w:w="1245"/>
        <w:gridCol w:w="1214"/>
        <w:gridCol w:w="1274"/>
      </w:tblGrid>
      <w:tr w14:paraId="3778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6AA02A84">
            <w:pPr>
              <w:jc w:val="center"/>
              <w:rPr>
                <w:rFonts w:ascii="Times New Roman" w:hAnsi="Times New Roman"/>
                <w:color w:val="000000"/>
                <w:sz w:val="32"/>
                <w:szCs w:val="32"/>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323EA246">
            <w:pPr>
              <w:jc w:val="center"/>
              <w:rPr>
                <w:rFonts w:ascii="Times New Roman" w:hAnsi="Times New Roman"/>
                <w:color w:val="000000"/>
                <w:sz w:val="32"/>
                <w:szCs w:val="32"/>
              </w:rPr>
            </w:pPr>
            <w:r>
              <w:rPr>
                <w:rFonts w:hint="eastAsia" w:ascii="宋体" w:hAnsi="宋体" w:cs="宋体"/>
                <w:color w:val="000000"/>
                <w:lang w:bidi="ar"/>
              </w:rPr>
              <w:t>姓名</w:t>
            </w: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7B79DA59">
            <w:pPr>
              <w:jc w:val="center"/>
              <w:rPr>
                <w:rFonts w:ascii="Times New Roman" w:hAnsi="Times New Roman"/>
                <w:color w:val="000000"/>
              </w:rPr>
            </w:pPr>
            <w:r>
              <w:rPr>
                <w:rFonts w:hint="eastAsia" w:ascii="宋体" w:hAnsi="宋体" w:cs="宋体"/>
                <w:color w:val="000000"/>
                <w:lang w:bidi="ar"/>
              </w:rPr>
              <w:t>安全评价师</w:t>
            </w:r>
          </w:p>
          <w:p w14:paraId="4AFE5583">
            <w:pPr>
              <w:jc w:val="center"/>
              <w:rPr>
                <w:rFonts w:ascii="Times New Roman" w:hAnsi="Times New Roman"/>
                <w:color w:val="000000"/>
              </w:rPr>
            </w:pPr>
            <w:r>
              <w:rPr>
                <w:rFonts w:ascii="Times New Roman" w:hAnsi="Times New Roman"/>
                <w:color w:val="000000"/>
                <w:lang w:bidi="ar"/>
              </w:rPr>
              <w:t>/</w:t>
            </w:r>
            <w:r>
              <w:rPr>
                <w:rFonts w:hint="eastAsia" w:ascii="宋体" w:hAnsi="宋体" w:cs="宋体"/>
                <w:color w:val="000000"/>
                <w:lang w:bidi="ar"/>
              </w:rPr>
              <w:t>注册安全工程师</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607BA773">
            <w:pPr>
              <w:jc w:val="center"/>
              <w:rPr>
                <w:rFonts w:ascii="Times New Roman" w:hAnsi="Times New Roman"/>
              </w:rPr>
            </w:pPr>
            <w:r>
              <w:rPr>
                <w:rFonts w:hint="eastAsia" w:ascii="宋体" w:hAnsi="宋体" w:cs="宋体"/>
                <w:lang w:bidi="ar"/>
              </w:rPr>
              <w:t>证书编号</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6C2A3A0">
            <w:pPr>
              <w:jc w:val="center"/>
              <w:rPr>
                <w:rFonts w:ascii="Times New Roman" w:hAnsi="Times New Roman"/>
              </w:rPr>
            </w:pPr>
            <w:r>
              <w:rPr>
                <w:rFonts w:hint="eastAsia" w:ascii="宋体" w:hAnsi="宋体" w:cs="宋体"/>
                <w:lang w:bidi="ar"/>
              </w:rPr>
              <w:t>从业编号</w:t>
            </w:r>
          </w:p>
          <w:p w14:paraId="25BB3025">
            <w:pPr>
              <w:jc w:val="center"/>
              <w:rPr>
                <w:rFonts w:ascii="Times New Roman" w:hAnsi="Times New Roman"/>
                <w:sz w:val="32"/>
                <w:szCs w:val="32"/>
              </w:rPr>
            </w:pPr>
            <w:r>
              <w:rPr>
                <w:rFonts w:ascii="Times New Roman" w:hAnsi="Times New Roman"/>
                <w:lang w:bidi="ar"/>
              </w:rPr>
              <w:t>/</w:t>
            </w:r>
            <w:r>
              <w:rPr>
                <w:rFonts w:hint="eastAsia" w:ascii="宋体" w:hAnsi="宋体" w:cs="宋体"/>
                <w:lang w:bidi="ar"/>
              </w:rPr>
              <w:t>注册号</w:t>
            </w:r>
          </w:p>
        </w:tc>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14:paraId="7638C6BE">
            <w:pPr>
              <w:jc w:val="center"/>
              <w:rPr>
                <w:rFonts w:ascii="Times New Roman" w:hAnsi="Times New Roman"/>
                <w:color w:val="000000"/>
              </w:rPr>
            </w:pPr>
            <w:r>
              <w:rPr>
                <w:rFonts w:hint="eastAsia" w:ascii="宋体" w:hAnsi="宋体" w:cs="宋体"/>
                <w:color w:val="000000"/>
                <w:lang w:bidi="ar"/>
              </w:rPr>
              <w:t>专业能力</w:t>
            </w: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0DC3933D">
            <w:pPr>
              <w:jc w:val="center"/>
              <w:rPr>
                <w:rFonts w:ascii="Times New Roman" w:hAnsi="Times New Roman"/>
                <w:color w:val="000000"/>
                <w:sz w:val="32"/>
                <w:szCs w:val="32"/>
              </w:rPr>
            </w:pPr>
            <w:r>
              <w:rPr>
                <w:rFonts w:hint="eastAsia" w:ascii="宋体" w:hAnsi="宋体" w:cs="宋体"/>
                <w:color w:val="000000"/>
                <w:lang w:bidi="ar"/>
              </w:rPr>
              <w:t>签字</w:t>
            </w:r>
          </w:p>
        </w:tc>
      </w:tr>
      <w:tr w14:paraId="3ADE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114377FF">
            <w:pPr>
              <w:jc w:val="center"/>
              <w:rPr>
                <w:rFonts w:ascii="Times New Roman" w:hAnsi="Times New Roman"/>
                <w:color w:val="000000"/>
                <w:sz w:val="32"/>
                <w:szCs w:val="32"/>
              </w:rPr>
            </w:pPr>
            <w:r>
              <w:rPr>
                <w:rFonts w:hint="eastAsia" w:ascii="宋体" w:hAnsi="宋体" w:cs="宋体"/>
                <w:color w:val="000000"/>
                <w:lang w:bidi="ar"/>
              </w:rPr>
              <w:t>项目负责人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6CAFFAD5">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31AC04D1">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4464CF69">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2C6163CC">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538C9496">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3DB09869">
            <w:pPr>
              <w:jc w:val="center"/>
              <w:rPr>
                <w:rFonts w:ascii="Times New Roman" w:hAnsi="Times New Roman"/>
                <w:color w:val="000000"/>
                <w:sz w:val="32"/>
                <w:szCs w:val="32"/>
              </w:rPr>
            </w:pPr>
          </w:p>
        </w:tc>
      </w:tr>
      <w:tr w14:paraId="4636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14:paraId="4AA440E6">
            <w:pPr>
              <w:jc w:val="center"/>
              <w:rPr>
                <w:rFonts w:ascii="Times New Roman" w:hAnsi="Times New Roman"/>
                <w:color w:val="000000"/>
                <w:sz w:val="32"/>
                <w:szCs w:val="32"/>
              </w:rPr>
            </w:pPr>
            <w:r>
              <w:rPr>
                <w:rFonts w:hint="eastAsia" w:ascii="宋体" w:hAnsi="宋体" w:cs="宋体"/>
                <w:color w:val="000000"/>
                <w:lang w:bidi="ar"/>
              </w:rPr>
              <w:t>项目组成员</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027CA78D">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01EFF997">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10390B7A">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6A9B0CB3">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00C04B4C">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4449F64C">
            <w:pPr>
              <w:jc w:val="center"/>
              <w:rPr>
                <w:rFonts w:ascii="Times New Roman" w:hAnsi="Times New Roman"/>
                <w:color w:val="000000"/>
                <w:sz w:val="32"/>
                <w:szCs w:val="32"/>
              </w:rPr>
            </w:pPr>
          </w:p>
        </w:tc>
      </w:tr>
      <w:tr w14:paraId="69B3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5FD42ED5">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5AE6970">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3682B58A">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018CE560">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76DA48DE">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6CE4E26D">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0DCD23C3">
            <w:pPr>
              <w:jc w:val="center"/>
              <w:rPr>
                <w:rFonts w:ascii="Times New Roman" w:hAnsi="Times New Roman"/>
                <w:color w:val="000000"/>
                <w:sz w:val="32"/>
                <w:szCs w:val="32"/>
              </w:rPr>
            </w:pPr>
          </w:p>
        </w:tc>
      </w:tr>
      <w:tr w14:paraId="74DE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10F517F1">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579D6CF9">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669752C5">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6F0B1E18">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DED8AA4">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5E98CAB3">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71212946">
            <w:pPr>
              <w:jc w:val="center"/>
              <w:rPr>
                <w:rFonts w:ascii="Times New Roman" w:hAnsi="Times New Roman"/>
                <w:color w:val="000000"/>
                <w:sz w:val="32"/>
                <w:szCs w:val="32"/>
              </w:rPr>
            </w:pPr>
          </w:p>
        </w:tc>
      </w:tr>
      <w:tr w14:paraId="65EE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1F25C252">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1F15260">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3F1FF180">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564ACEC2">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722C082">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4CD21517">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7292AD8A">
            <w:pPr>
              <w:jc w:val="center"/>
              <w:rPr>
                <w:rFonts w:ascii="Times New Roman" w:hAnsi="Times New Roman"/>
                <w:color w:val="000000"/>
                <w:sz w:val="32"/>
                <w:szCs w:val="32"/>
              </w:rPr>
            </w:pPr>
          </w:p>
        </w:tc>
      </w:tr>
      <w:tr w14:paraId="206A3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43FCF4DC">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618E0E3">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6F615E6A">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1703C60A">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768C3327">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6B371D1F">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14515E3E">
            <w:pPr>
              <w:jc w:val="center"/>
              <w:rPr>
                <w:rFonts w:ascii="Times New Roman" w:hAnsi="Times New Roman"/>
                <w:color w:val="000000"/>
                <w:sz w:val="32"/>
                <w:szCs w:val="32"/>
              </w:rPr>
            </w:pPr>
          </w:p>
        </w:tc>
      </w:tr>
      <w:tr w14:paraId="53B2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2B42B152">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7BFD1BA">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7B6E2DFC">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585FD17A">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8B8AB97">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443FB8D6">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26C93463">
            <w:pPr>
              <w:jc w:val="center"/>
              <w:rPr>
                <w:rFonts w:ascii="Times New Roman" w:hAnsi="Times New Roman"/>
                <w:color w:val="000000"/>
                <w:sz w:val="32"/>
                <w:szCs w:val="32"/>
              </w:rPr>
            </w:pPr>
          </w:p>
        </w:tc>
      </w:tr>
      <w:tr w14:paraId="6FB1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14:paraId="0BB8A1DA">
            <w:pPr>
              <w:jc w:val="center"/>
              <w:rPr>
                <w:rFonts w:ascii="Times New Roman" w:hAnsi="Times New Roman"/>
                <w:color w:val="000000"/>
                <w:sz w:val="32"/>
                <w:szCs w:val="32"/>
              </w:rPr>
            </w:pPr>
            <w:r>
              <w:rPr>
                <w:rFonts w:hint="eastAsia" w:ascii="宋体" w:hAnsi="宋体" w:cs="宋体"/>
                <w:color w:val="000000"/>
                <w:lang w:bidi="ar"/>
              </w:rPr>
              <w:t>报告编制人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7E106736">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1C7931B0">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36BC6F3F">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4DE5CDEC">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30D3DAEC">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45B9F280">
            <w:pPr>
              <w:jc w:val="center"/>
              <w:rPr>
                <w:rFonts w:ascii="Times New Roman" w:hAnsi="Times New Roman"/>
                <w:color w:val="000000"/>
                <w:sz w:val="32"/>
                <w:szCs w:val="32"/>
              </w:rPr>
            </w:pPr>
          </w:p>
        </w:tc>
      </w:tr>
      <w:tr w14:paraId="2927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13EE5E9C">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0498E2B7">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6D733444">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16E0463C">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5497B64A">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7FBD9416">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47099ACA">
            <w:pPr>
              <w:jc w:val="center"/>
              <w:rPr>
                <w:rFonts w:ascii="Times New Roman" w:hAnsi="Times New Roman"/>
                <w:color w:val="000000"/>
                <w:sz w:val="32"/>
                <w:szCs w:val="32"/>
              </w:rPr>
            </w:pPr>
          </w:p>
        </w:tc>
      </w:tr>
      <w:tr w14:paraId="1B54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restart"/>
            <w:tcBorders>
              <w:top w:val="nil"/>
              <w:left w:val="single" w:color="auto" w:sz="4" w:space="0"/>
              <w:bottom w:val="single" w:color="auto" w:sz="4" w:space="0"/>
              <w:right w:val="single" w:color="auto" w:sz="4" w:space="0"/>
            </w:tcBorders>
            <w:shd w:val="clear" w:color="auto" w:fill="auto"/>
            <w:vAlign w:val="center"/>
          </w:tcPr>
          <w:p w14:paraId="20A43E48">
            <w:pPr>
              <w:jc w:val="center"/>
              <w:rPr>
                <w:rFonts w:ascii="Times New Roman" w:hAnsi="Times New Roman"/>
                <w:color w:val="000000"/>
                <w:sz w:val="32"/>
                <w:szCs w:val="32"/>
              </w:rPr>
            </w:pPr>
            <w:r>
              <w:rPr>
                <w:rFonts w:hint="eastAsia" w:ascii="宋体" w:hAnsi="宋体" w:cs="宋体"/>
                <w:color w:val="000000"/>
                <w:lang w:bidi="ar"/>
              </w:rPr>
              <w:t>报告审核人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01FA1975">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3CBC5D99">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29458298">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0BF19E19">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37C65005">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431C505A">
            <w:pPr>
              <w:jc w:val="center"/>
              <w:rPr>
                <w:rFonts w:ascii="Times New Roman" w:hAnsi="Times New Roman"/>
                <w:color w:val="000000"/>
                <w:sz w:val="32"/>
                <w:szCs w:val="32"/>
              </w:rPr>
            </w:pPr>
          </w:p>
        </w:tc>
      </w:tr>
      <w:tr w14:paraId="5593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vMerge w:val="continue"/>
            <w:tcBorders>
              <w:top w:val="nil"/>
              <w:left w:val="single" w:color="auto" w:sz="4" w:space="0"/>
              <w:bottom w:val="single" w:color="auto" w:sz="4" w:space="0"/>
              <w:right w:val="single" w:color="auto" w:sz="4" w:space="0"/>
            </w:tcBorders>
            <w:shd w:val="clear" w:color="auto" w:fill="auto"/>
            <w:vAlign w:val="center"/>
          </w:tcPr>
          <w:p w14:paraId="665DE106">
            <w:pPr>
              <w:rPr>
                <w:rFonts w:ascii="Times New Roman" w:hAnsi="Times New Roman"/>
                <w:sz w:val="20"/>
                <w:szCs w:val="20"/>
              </w:rPr>
            </w:pP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44FD03F5">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4C9C5CAD">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459A97E0">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3CF6A4E0">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60F470B0">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7B74E522">
            <w:pPr>
              <w:jc w:val="center"/>
              <w:rPr>
                <w:rFonts w:ascii="Times New Roman" w:hAnsi="Times New Roman"/>
                <w:color w:val="000000"/>
                <w:sz w:val="32"/>
                <w:szCs w:val="32"/>
              </w:rPr>
            </w:pPr>
          </w:p>
        </w:tc>
      </w:tr>
      <w:tr w14:paraId="71AC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35968059">
            <w:pPr>
              <w:jc w:val="center"/>
              <w:rPr>
                <w:rFonts w:ascii="Times New Roman" w:hAnsi="Times New Roman"/>
                <w:color w:val="000000"/>
              </w:rPr>
            </w:pPr>
            <w:r>
              <w:rPr>
                <w:rFonts w:hint="eastAsia" w:ascii="宋体" w:hAnsi="宋体" w:cs="宋体"/>
                <w:color w:val="000000"/>
                <w:lang w:bidi="ar"/>
              </w:rPr>
              <w:t>过程控制</w:t>
            </w:r>
          </w:p>
          <w:p w14:paraId="09BF7F59">
            <w:pPr>
              <w:jc w:val="center"/>
              <w:rPr>
                <w:rFonts w:ascii="Times New Roman" w:hAnsi="Times New Roman"/>
                <w:color w:val="000000"/>
                <w:sz w:val="32"/>
                <w:szCs w:val="32"/>
              </w:rPr>
            </w:pPr>
            <w:r>
              <w:rPr>
                <w:rFonts w:hint="eastAsia" w:ascii="宋体" w:hAnsi="宋体" w:cs="宋体"/>
                <w:color w:val="000000"/>
                <w:lang w:bidi="ar"/>
              </w:rPr>
              <w:t>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6F9D5AF4">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12ED761C">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01DD6440">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77F38329">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7118437F">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1DF23B18">
            <w:pPr>
              <w:jc w:val="center"/>
              <w:rPr>
                <w:rFonts w:ascii="Times New Roman" w:hAnsi="Times New Roman"/>
                <w:color w:val="000000"/>
                <w:sz w:val="32"/>
                <w:szCs w:val="32"/>
              </w:rPr>
            </w:pPr>
          </w:p>
        </w:tc>
      </w:tr>
      <w:tr w14:paraId="72B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5CCD3B83">
            <w:pPr>
              <w:jc w:val="center"/>
              <w:rPr>
                <w:rFonts w:ascii="Times New Roman" w:hAnsi="Times New Roman"/>
                <w:color w:val="000000"/>
                <w:sz w:val="32"/>
                <w:szCs w:val="32"/>
              </w:rPr>
            </w:pPr>
            <w:r>
              <w:rPr>
                <w:rFonts w:hint="eastAsia" w:ascii="宋体" w:hAnsi="宋体" w:cs="宋体"/>
                <w:color w:val="000000"/>
                <w:lang w:bidi="ar"/>
              </w:rPr>
              <w:t>技术负责人</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5928B95B">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15152F22">
            <w:pPr>
              <w:jc w:val="center"/>
              <w:rPr>
                <w:rFonts w:ascii="Times New Roman" w:hAnsi="Times New Roman"/>
                <w:color w:val="000000"/>
                <w:sz w:val="32"/>
                <w:szCs w:val="32"/>
              </w:rPr>
            </w:pP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7AFB7093">
            <w:pPr>
              <w:jc w:val="center"/>
              <w:rPr>
                <w:rFonts w:ascii="Times New Roman" w:hAnsi="Times New Roman"/>
                <w:color w:val="0000FF"/>
                <w:sz w:val="32"/>
                <w:szCs w:val="32"/>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78584D3D">
            <w:pPr>
              <w:jc w:val="center"/>
              <w:rPr>
                <w:rFonts w:ascii="Times New Roman" w:hAnsi="Times New Roman"/>
                <w:color w:val="0000FF"/>
                <w:sz w:val="32"/>
                <w:szCs w:val="32"/>
              </w:rPr>
            </w:pP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707B0B44">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6F6F009B">
            <w:pPr>
              <w:jc w:val="center"/>
              <w:rPr>
                <w:rFonts w:ascii="Times New Roman" w:hAnsi="Times New Roman"/>
                <w:color w:val="000000"/>
                <w:sz w:val="32"/>
                <w:szCs w:val="32"/>
              </w:rPr>
            </w:pPr>
          </w:p>
        </w:tc>
      </w:tr>
      <w:tr w14:paraId="0E04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4" w:space="0"/>
              <w:bottom w:val="single" w:color="auto" w:sz="4" w:space="0"/>
              <w:right w:val="single" w:color="auto" w:sz="4" w:space="0"/>
            </w:tcBorders>
            <w:shd w:val="clear" w:color="auto" w:fill="auto"/>
            <w:vAlign w:val="center"/>
          </w:tcPr>
          <w:p w14:paraId="6CFBBF4E">
            <w:pPr>
              <w:jc w:val="center"/>
              <w:rPr>
                <w:rFonts w:ascii="Times New Roman" w:hAnsi="Times New Roman"/>
                <w:color w:val="000000"/>
              </w:rPr>
            </w:pPr>
            <w:r>
              <w:rPr>
                <w:rFonts w:hint="eastAsia" w:ascii="宋体" w:hAnsi="宋体" w:cs="宋体"/>
                <w:color w:val="000000"/>
                <w:lang w:bidi="ar"/>
              </w:rPr>
              <w:t>技术专家</w:t>
            </w:r>
          </w:p>
        </w:tc>
        <w:tc>
          <w:tcPr>
            <w:tcW w:w="947" w:type="dxa"/>
            <w:tcBorders>
              <w:top w:val="single" w:color="auto" w:sz="4" w:space="0"/>
              <w:left w:val="single" w:color="auto" w:sz="4" w:space="0"/>
              <w:bottom w:val="single" w:color="auto" w:sz="4" w:space="0"/>
              <w:right w:val="single" w:color="auto" w:sz="4" w:space="0"/>
            </w:tcBorders>
            <w:shd w:val="clear" w:color="auto" w:fill="auto"/>
            <w:vAlign w:val="center"/>
          </w:tcPr>
          <w:p w14:paraId="1688CCF3">
            <w:pPr>
              <w:jc w:val="center"/>
              <w:rPr>
                <w:rFonts w:ascii="Times New Roman" w:hAnsi="Times New Roman"/>
                <w:color w:val="000000"/>
                <w:sz w:val="32"/>
                <w:szCs w:val="32"/>
              </w:rPr>
            </w:pPr>
          </w:p>
        </w:tc>
        <w:tc>
          <w:tcPr>
            <w:tcW w:w="1793" w:type="dxa"/>
            <w:tcBorders>
              <w:top w:val="single" w:color="auto" w:sz="4" w:space="0"/>
              <w:left w:val="single" w:color="auto" w:sz="4" w:space="0"/>
              <w:bottom w:val="single" w:color="auto" w:sz="4" w:space="0"/>
              <w:right w:val="single" w:color="auto" w:sz="4" w:space="0"/>
            </w:tcBorders>
            <w:shd w:val="clear" w:color="auto" w:fill="auto"/>
            <w:vAlign w:val="center"/>
          </w:tcPr>
          <w:p w14:paraId="056E186C">
            <w:pPr>
              <w:jc w:val="center"/>
              <w:rPr>
                <w:rFonts w:ascii="Times New Roman" w:hAnsi="Times New Roman"/>
                <w:sz w:val="32"/>
                <w:szCs w:val="32"/>
              </w:rPr>
            </w:pPr>
            <w:r>
              <w:rPr>
                <w:rFonts w:ascii="Times New Roman" w:hAnsi="Times New Roman"/>
                <w:sz w:val="32"/>
                <w:szCs w:val="32"/>
                <w:lang w:bidi="ar"/>
              </w:rPr>
              <w:t>-</w:t>
            </w:r>
          </w:p>
        </w:tc>
        <w:tc>
          <w:tcPr>
            <w:tcW w:w="1230" w:type="dxa"/>
            <w:tcBorders>
              <w:top w:val="single" w:color="auto" w:sz="4" w:space="0"/>
              <w:left w:val="single" w:color="auto" w:sz="4" w:space="0"/>
              <w:bottom w:val="single" w:color="auto" w:sz="4" w:space="0"/>
              <w:right w:val="single" w:color="auto" w:sz="4" w:space="0"/>
            </w:tcBorders>
            <w:shd w:val="clear" w:color="auto" w:fill="auto"/>
            <w:vAlign w:val="center"/>
          </w:tcPr>
          <w:p w14:paraId="2572729B">
            <w:pPr>
              <w:jc w:val="center"/>
              <w:rPr>
                <w:rFonts w:ascii="Times New Roman" w:hAnsi="Times New Roman"/>
                <w:sz w:val="32"/>
                <w:szCs w:val="32"/>
              </w:rPr>
            </w:pPr>
            <w:r>
              <w:rPr>
                <w:rFonts w:ascii="Times New Roman" w:hAnsi="Times New Roman"/>
                <w:sz w:val="32"/>
                <w:szCs w:val="32"/>
                <w:lang w:bidi="ar"/>
              </w:rPr>
              <w:t>-</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14:paraId="090DA474">
            <w:pPr>
              <w:jc w:val="center"/>
              <w:rPr>
                <w:rFonts w:ascii="Times New Roman" w:hAnsi="Times New Roman"/>
                <w:sz w:val="32"/>
                <w:szCs w:val="32"/>
              </w:rPr>
            </w:pPr>
            <w:r>
              <w:rPr>
                <w:rFonts w:ascii="Times New Roman" w:hAnsi="Times New Roman"/>
                <w:sz w:val="32"/>
                <w:szCs w:val="32"/>
                <w:lang w:bidi="ar"/>
              </w:rPr>
              <w:t>-</w:t>
            </w:r>
          </w:p>
        </w:tc>
        <w:tc>
          <w:tcPr>
            <w:tcW w:w="1214" w:type="dxa"/>
            <w:tcBorders>
              <w:top w:val="single" w:color="auto" w:sz="4" w:space="0"/>
              <w:left w:val="single" w:color="auto" w:sz="4" w:space="0"/>
              <w:bottom w:val="single" w:color="auto" w:sz="4" w:space="0"/>
              <w:right w:val="single" w:color="auto" w:sz="4" w:space="0"/>
            </w:tcBorders>
            <w:shd w:val="clear" w:color="auto" w:fill="auto"/>
          </w:tcPr>
          <w:p w14:paraId="7B447047">
            <w:pPr>
              <w:jc w:val="center"/>
              <w:rPr>
                <w:rFonts w:ascii="Times New Roman" w:hAnsi="Times New Roman"/>
                <w:color w:val="000000"/>
                <w:sz w:val="32"/>
                <w:szCs w:val="32"/>
              </w:rPr>
            </w:pPr>
          </w:p>
        </w:tc>
        <w:tc>
          <w:tcPr>
            <w:tcW w:w="1274" w:type="dxa"/>
            <w:tcBorders>
              <w:top w:val="single" w:color="auto" w:sz="4" w:space="0"/>
              <w:left w:val="single" w:color="auto" w:sz="4" w:space="0"/>
              <w:bottom w:val="single" w:color="auto" w:sz="4" w:space="0"/>
              <w:right w:val="single" w:color="auto" w:sz="4" w:space="0"/>
            </w:tcBorders>
            <w:shd w:val="clear" w:color="auto" w:fill="auto"/>
            <w:vAlign w:val="center"/>
          </w:tcPr>
          <w:p w14:paraId="6CB95D40">
            <w:pPr>
              <w:jc w:val="center"/>
              <w:rPr>
                <w:rFonts w:ascii="Times New Roman" w:hAnsi="Times New Roman"/>
                <w:color w:val="000000"/>
                <w:sz w:val="32"/>
                <w:szCs w:val="32"/>
              </w:rPr>
            </w:pPr>
          </w:p>
        </w:tc>
      </w:tr>
    </w:tbl>
    <w:p w14:paraId="36DDC64F">
      <w:pPr>
        <w:widowControl/>
        <w:spacing w:line="440" w:lineRule="exact"/>
        <w:jc w:val="right"/>
        <w:rPr>
          <w:rFonts w:ascii="Times New Roman" w:hAnsi="Times New Roman"/>
          <w:kern w:val="0"/>
        </w:rPr>
      </w:pPr>
      <w:r>
        <w:rPr>
          <w:rFonts w:ascii="Times New Roman" w:hAnsi="Times New Roman"/>
          <w:kern w:val="0"/>
        </w:rPr>
        <w:t>(此表应根据具体项目实际参与人数编制)</w:t>
      </w:r>
    </w:p>
    <w:p w14:paraId="252502C9">
      <w:pPr>
        <w:pStyle w:val="57"/>
        <w:ind w:firstLine="0" w:firstLineChars="0"/>
        <w:jc w:val="center"/>
      </w:pPr>
      <w:r>
        <w:rPr>
          <w:szCs w:val="21"/>
        </w:rPr>
        <w:t>（以上全部小四号宋体）</w:t>
      </w:r>
    </w:p>
    <w:bookmarkEnd w:id="232"/>
    <w:bookmarkEnd w:id="241"/>
    <w:bookmarkEnd w:id="242"/>
    <w:bookmarkEnd w:id="243"/>
    <w:bookmarkEnd w:id="244"/>
    <w:p w14:paraId="1FF3AD94">
      <w:pPr>
        <w:pStyle w:val="57"/>
        <w:ind w:firstLine="0" w:firstLineChars="0"/>
      </w:pPr>
      <w:r>
        <w:br w:type="page"/>
      </w:r>
    </w:p>
    <w:p w14:paraId="1E48E928">
      <w:pPr>
        <w:pStyle w:val="64"/>
        <w:spacing w:before="640" w:after="200" w:afterLines="0"/>
      </w:pPr>
      <w:bookmarkStart w:id="255" w:name="_Toc9332"/>
      <w:bookmarkStart w:id="256" w:name="_Toc9593"/>
      <w:bookmarkStart w:id="257" w:name="_Toc13899"/>
      <w:bookmarkStart w:id="258" w:name="_Toc27899"/>
      <w:bookmarkStart w:id="259" w:name="_Toc26505"/>
      <w:bookmarkStart w:id="260" w:name="_Toc30200"/>
      <w:r>
        <w:rPr>
          <w:rFonts w:hint="eastAsia"/>
          <w:spacing w:val="105"/>
        </w:rPr>
        <w:t>参考文</w:t>
      </w:r>
      <w:r>
        <w:rPr>
          <w:rFonts w:hint="eastAsia"/>
        </w:rPr>
        <w:t>献</w:t>
      </w:r>
      <w:bookmarkEnd w:id="255"/>
      <w:bookmarkEnd w:id="256"/>
      <w:bookmarkEnd w:id="257"/>
      <w:bookmarkEnd w:id="258"/>
      <w:bookmarkEnd w:id="259"/>
      <w:bookmarkEnd w:id="260"/>
    </w:p>
    <w:p w14:paraId="4EF29D94">
      <w:pPr>
        <w:pStyle w:val="57"/>
        <w:ind w:firstLine="420"/>
        <w:rPr>
          <w:rFonts w:hAnsi="宋体" w:cs="宋体"/>
        </w:rPr>
      </w:pPr>
      <w:r>
        <w:rPr>
          <w:rFonts w:hint="eastAsia" w:hAnsi="宋体" w:cs="宋体"/>
        </w:rPr>
        <w:t>[1] GB 6441 生产安全事故分类与编码</w:t>
      </w:r>
    </w:p>
    <w:p w14:paraId="45D3870C">
      <w:pPr>
        <w:pStyle w:val="57"/>
        <w:ind w:firstLine="420"/>
        <w:rPr>
          <w:rFonts w:hAnsi="宋体" w:cs="宋体"/>
        </w:rPr>
      </w:pPr>
      <w:r>
        <w:rPr>
          <w:rFonts w:hint="eastAsia" w:hAnsi="宋体" w:cs="宋体"/>
        </w:rPr>
        <w:t>[2] GB/T 13861 生产过程危险和有害因素分类与代码</w:t>
      </w:r>
    </w:p>
    <w:p w14:paraId="574C98F1">
      <w:pPr>
        <w:pStyle w:val="57"/>
        <w:ind w:firstLine="420"/>
      </w:pPr>
      <w:r>
        <w:rPr>
          <w:rFonts w:hint="eastAsia" w:hAnsi="宋体" w:cs="宋体"/>
        </w:rPr>
        <w:t xml:space="preserve">[3] </w:t>
      </w:r>
      <w:r>
        <w:rPr>
          <w:rFonts w:hint="eastAsia"/>
        </w:rPr>
        <w:t>GB 42294 陆上石油天然气开采安全规程</w:t>
      </w:r>
    </w:p>
    <w:p w14:paraId="1AC1319E">
      <w:pPr>
        <w:pStyle w:val="57"/>
        <w:ind w:firstLine="420"/>
      </w:pPr>
      <w:r>
        <w:rPr>
          <w:rFonts w:hint="eastAsia" w:hAnsi="宋体" w:cs="宋体"/>
        </w:rPr>
        <w:t xml:space="preserve">[4] </w:t>
      </w:r>
      <w:r>
        <w:rPr>
          <w:rFonts w:hint="eastAsia"/>
        </w:rPr>
        <w:t>GB 50183 石油天然气工程设计防火规范</w:t>
      </w:r>
    </w:p>
    <w:p w14:paraId="4FD17F5E">
      <w:pPr>
        <w:pStyle w:val="57"/>
        <w:ind w:firstLine="420"/>
      </w:pPr>
      <w:r>
        <w:rPr>
          <w:rFonts w:hint="eastAsia" w:hAnsi="宋体" w:cs="宋体"/>
        </w:rPr>
        <w:t xml:space="preserve">[5] </w:t>
      </w:r>
      <w:r>
        <w:rPr>
          <w:rFonts w:hint="eastAsia"/>
        </w:rPr>
        <w:t>GB 50349 气田集输设计规范</w:t>
      </w:r>
    </w:p>
    <w:p w14:paraId="1CD25DAB">
      <w:pPr>
        <w:pStyle w:val="57"/>
        <w:ind w:firstLine="420"/>
      </w:pPr>
      <w:r>
        <w:rPr>
          <w:rFonts w:hint="eastAsia" w:hAnsi="宋体" w:cs="宋体"/>
        </w:rPr>
        <w:t xml:space="preserve">[6] </w:t>
      </w:r>
      <w:r>
        <w:rPr>
          <w:rFonts w:hint="eastAsia"/>
        </w:rPr>
        <w:t>GB 50350 油田油气集输设计规范</w:t>
      </w:r>
    </w:p>
    <w:p w14:paraId="5C66873C">
      <w:pPr>
        <w:pStyle w:val="57"/>
        <w:ind w:firstLine="420"/>
      </w:pPr>
      <w:r>
        <w:rPr>
          <w:rFonts w:hint="eastAsia" w:hAnsi="宋体" w:cs="宋体"/>
        </w:rPr>
        <w:t xml:space="preserve">[7] </w:t>
      </w:r>
      <w:r>
        <w:rPr>
          <w:rFonts w:hint="eastAsia"/>
        </w:rPr>
        <w:t>GB 50391 油田注水工程设计规范</w:t>
      </w:r>
    </w:p>
    <w:p w14:paraId="4B03B760">
      <w:pPr>
        <w:pStyle w:val="57"/>
        <w:ind w:firstLine="420"/>
        <w:rPr>
          <w:rFonts w:hAnsi="宋体" w:cs="宋体"/>
        </w:rPr>
      </w:pPr>
      <w:r>
        <w:rPr>
          <w:rFonts w:hint="eastAsia" w:hAnsi="宋体" w:cs="宋体"/>
        </w:rPr>
        <w:t xml:space="preserve">[8] </w:t>
      </w:r>
      <w:r>
        <w:rPr>
          <w:rFonts w:hint="eastAsia"/>
        </w:rPr>
        <w:t>GB 50428 油田采出水处理设计规范</w:t>
      </w:r>
    </w:p>
    <w:p w14:paraId="789C31C1">
      <w:pPr>
        <w:pStyle w:val="57"/>
        <w:ind w:firstLine="420"/>
        <w:rPr>
          <w:rFonts w:hAnsi="宋体" w:cs="宋体"/>
        </w:rPr>
      </w:pPr>
      <w:r>
        <w:rPr>
          <w:rFonts w:hint="eastAsia" w:hAnsi="宋体" w:cs="宋体"/>
        </w:rPr>
        <w:t>[9] AQ 2083 陆上石油天然气钻井安全规范</w:t>
      </w:r>
    </w:p>
    <w:p w14:paraId="3A453457">
      <w:pPr>
        <w:pStyle w:val="57"/>
        <w:ind w:firstLine="420"/>
        <w:rPr>
          <w:rFonts w:hAnsi="宋体" w:cs="宋体"/>
        </w:rPr>
      </w:pPr>
      <w:r>
        <w:rPr>
          <w:rFonts w:hint="eastAsia" w:hAnsi="宋体" w:cs="宋体"/>
        </w:rPr>
        <w:t>[10] AQ 2084 陆上石油天然气井下作业安全规范</w:t>
      </w:r>
    </w:p>
    <w:p w14:paraId="5B1A6304">
      <w:pPr>
        <w:pStyle w:val="57"/>
        <w:ind w:firstLine="420"/>
        <w:rPr>
          <w:rFonts w:hAnsi="宋体" w:cs="宋体"/>
        </w:rPr>
      </w:pPr>
      <w:r>
        <w:rPr>
          <w:rFonts w:hint="eastAsia" w:hAnsi="宋体" w:cs="宋体"/>
        </w:rPr>
        <w:t>[11] AQ 2085 石油天然气开采重大事故隐患判定准则</w:t>
      </w:r>
    </w:p>
    <w:p w14:paraId="0C06ADD1">
      <w:pPr>
        <w:pStyle w:val="57"/>
        <w:ind w:firstLine="420"/>
        <w:rPr>
          <w:rFonts w:hAnsi="宋体" w:cs="宋体"/>
        </w:rPr>
      </w:pPr>
      <w:r>
        <w:rPr>
          <w:rFonts w:hint="eastAsia" w:hAnsi="宋体" w:cs="宋体"/>
        </w:rPr>
        <w:t xml:space="preserve">[12] </w:t>
      </w:r>
      <w:r>
        <w:rPr>
          <w:rFonts w:hint="eastAsia"/>
        </w:rPr>
        <w:t>AQ 8001 安全评价通则</w:t>
      </w:r>
    </w:p>
    <w:p w14:paraId="531AFC2E">
      <w:pPr>
        <w:pStyle w:val="57"/>
        <w:ind w:firstLine="0" w:firstLineChars="0"/>
        <w:jc w:val="center"/>
        <w:rPr>
          <w:lang w:val="de-DE"/>
        </w:rPr>
      </w:pPr>
      <w:r>
        <w:rPr>
          <w:rFonts w:hint="eastAsia"/>
        </w:rPr>
        <w:drawing>
          <wp:inline distT="0" distB="0" distL="0" distR="0">
            <wp:extent cx="1485900" cy="317500"/>
            <wp:effectExtent l="0" t="0" r="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7">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p w14:paraId="318A120F">
      <w:pPr>
        <w:pStyle w:val="57"/>
        <w:ind w:firstLine="420"/>
        <w:sectPr>
          <w:headerReference r:id="rId16" w:type="default"/>
          <w:footerReference r:id="rId18" w:type="default"/>
          <w:headerReference r:id="rId17" w:type="even"/>
          <w:footerReference r:id="rId19" w:type="even"/>
          <w:pgSz w:w="11906" w:h="16838"/>
          <w:pgMar w:top="1928" w:right="1134" w:bottom="1134" w:left="1134" w:header="1418" w:footer="1134" w:gutter="284"/>
          <w:cols w:space="425" w:num="1"/>
          <w:formProt w:val="0"/>
          <w:docGrid w:linePitch="312" w:charSpace="0"/>
        </w:sectPr>
      </w:pPr>
    </w:p>
    <w:p w14:paraId="7D537271">
      <w:pPr>
        <w:rPr>
          <w:rFonts w:ascii="宋体" w:hAnsi="宋体" w:eastAsia="仿宋"/>
          <w:sz w:val="30"/>
          <w:szCs w:val="30"/>
        </w:rPr>
      </w:pPr>
    </w:p>
    <w:p w14:paraId="2E5CE3FC">
      <w:pPr>
        <w:adjustRightInd/>
        <w:spacing w:line="240" w:lineRule="auto"/>
        <w:jc w:val="center"/>
        <w:rPr>
          <w:rFonts w:ascii="宋体" w:hAnsi="宋体" w:eastAsia="方正小标宋简体"/>
          <w:sz w:val="44"/>
          <w:szCs w:val="44"/>
        </w:rPr>
      </w:pPr>
    </w:p>
    <w:p w14:paraId="68547DD5">
      <w:pPr>
        <w:adjustRightInd/>
        <w:spacing w:line="240" w:lineRule="auto"/>
        <w:jc w:val="center"/>
        <w:rPr>
          <w:rFonts w:ascii="宋体" w:hAnsi="宋体" w:eastAsia="方正小标宋简体"/>
          <w:sz w:val="44"/>
          <w:szCs w:val="44"/>
        </w:rPr>
      </w:pPr>
    </w:p>
    <w:p w14:paraId="3462A330">
      <w:pPr>
        <w:adjustRightInd/>
        <w:spacing w:line="360" w:lineRule="auto"/>
        <w:jc w:val="center"/>
        <w:rPr>
          <w:rFonts w:ascii="方正小标宋简体" w:hAnsi="方正小标宋简体" w:eastAsia="方正小标宋简体" w:cs="方正小标宋简体"/>
          <w:sz w:val="44"/>
          <w:szCs w:val="44"/>
        </w:rPr>
      </w:pPr>
      <w:bookmarkStart w:id="261" w:name="_Toc2085077807_WPSOffice_Level2"/>
      <w:r>
        <w:rPr>
          <w:rFonts w:hint="eastAsia" w:ascii="方正小标宋简体" w:hAnsi="方正小标宋简体" w:eastAsia="方正小标宋简体" w:cs="方正小标宋简体"/>
          <w:sz w:val="44"/>
          <w:szCs w:val="44"/>
        </w:rPr>
        <w:t>《陆上石油天然气企业</w:t>
      </w:r>
    </w:p>
    <w:p w14:paraId="52C35BEA">
      <w:pPr>
        <w:adjustRightInd/>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安全现状评价导则》</w:t>
      </w:r>
    </w:p>
    <w:p w14:paraId="169A0178">
      <w:pPr>
        <w:jc w:val="center"/>
        <w:rPr>
          <w:rFonts w:ascii="宋体" w:hAnsi="宋体" w:eastAsia="仿宋_GB2312"/>
          <w:sz w:val="32"/>
          <w:szCs w:val="32"/>
        </w:rPr>
      </w:pPr>
      <w:r>
        <w:rPr>
          <w:rFonts w:hint="eastAsia" w:ascii="宋体" w:hAnsi="宋体" w:eastAsia="仿宋_GB2312"/>
          <w:sz w:val="32"/>
          <w:szCs w:val="32"/>
        </w:rPr>
        <w:t>（</w:t>
      </w:r>
      <w:r>
        <w:rPr>
          <w:rFonts w:ascii="宋体" w:hAnsi="宋体" w:eastAsia="仿宋_GB2312"/>
          <w:sz w:val="32"/>
          <w:szCs w:val="32"/>
        </w:rPr>
        <w:t xml:space="preserve"> </w:t>
      </w:r>
      <w:r>
        <w:rPr>
          <w:rFonts w:hint="eastAsia" w:ascii="宋体" w:hAnsi="宋体" w:eastAsia="仿宋_GB2312"/>
          <w:sz w:val="32"/>
          <w:szCs w:val="32"/>
        </w:rPr>
        <w:t>■征求意见稿</w:t>
      </w:r>
      <w:r>
        <w:rPr>
          <w:rFonts w:ascii="宋体" w:hAnsi="宋体" w:eastAsia="仿宋_GB2312"/>
          <w:sz w:val="32"/>
          <w:szCs w:val="32"/>
        </w:rPr>
        <w:t xml:space="preserve">  </w:t>
      </w:r>
      <w:r>
        <w:rPr>
          <w:rFonts w:hint="eastAsia" w:ascii="宋体" w:hAnsi="宋体" w:eastAsia="仿宋_GB2312"/>
          <w:sz w:val="32"/>
          <w:szCs w:val="32"/>
        </w:rPr>
        <w:t>□送审稿</w:t>
      </w:r>
      <w:r>
        <w:rPr>
          <w:rFonts w:ascii="宋体" w:hAnsi="宋体" w:eastAsia="仿宋_GB2312"/>
          <w:sz w:val="32"/>
          <w:szCs w:val="32"/>
        </w:rPr>
        <w:t xml:space="preserve">  </w:t>
      </w:r>
      <w:r>
        <w:rPr>
          <w:rFonts w:hint="eastAsia" w:ascii="宋体" w:hAnsi="宋体" w:eastAsia="仿宋_GB2312"/>
          <w:sz w:val="32"/>
          <w:szCs w:val="32"/>
        </w:rPr>
        <w:t>□报批稿）</w:t>
      </w:r>
    </w:p>
    <w:p w14:paraId="5EBB3735">
      <w:pPr>
        <w:jc w:val="center"/>
        <w:rPr>
          <w:rFonts w:ascii="宋体" w:hAnsi="宋体" w:eastAsia="方正小标宋简体"/>
          <w:sz w:val="44"/>
          <w:szCs w:val="44"/>
        </w:rPr>
      </w:pPr>
    </w:p>
    <w:bookmarkEnd w:id="261"/>
    <w:p w14:paraId="6B71115C">
      <w:pPr>
        <w:pStyle w:val="2"/>
        <w:ind w:firstLine="0" w:firstLineChars="0"/>
        <w:jc w:val="center"/>
        <w:rPr>
          <w:rFonts w:eastAsia="黑体"/>
        </w:rPr>
      </w:pPr>
      <w:r>
        <w:rPr>
          <w:rFonts w:hint="eastAsia" w:ascii="宋体" w:hAnsi="宋体" w:eastAsia="黑体" w:cs="黑体"/>
          <w:sz w:val="44"/>
          <w:szCs w:val="44"/>
        </w:rPr>
        <w:t>编制说明</w:t>
      </w:r>
    </w:p>
    <w:p w14:paraId="3FFF6A0D">
      <w:pPr>
        <w:jc w:val="center"/>
        <w:rPr>
          <w:rFonts w:ascii="宋体" w:hAnsi="宋体" w:eastAsia="仿宋_GB2312"/>
          <w:i/>
          <w:iCs/>
          <w:sz w:val="28"/>
          <w:szCs w:val="28"/>
        </w:rPr>
      </w:pPr>
      <w:r>
        <w:rPr>
          <w:rFonts w:ascii="宋体" w:hAnsi="宋体" w:eastAsia="仿宋"/>
          <w:i/>
          <w:iCs/>
          <w:sz w:val="28"/>
          <w:szCs w:val="28"/>
        </w:rPr>
        <w:br w:type="textWrapping"/>
      </w:r>
    </w:p>
    <w:p w14:paraId="7C9E10E6">
      <w:pPr>
        <w:rPr>
          <w:rFonts w:ascii="宋体" w:hAnsi="宋体" w:eastAsia="仿宋_GB2312"/>
          <w:i/>
          <w:iCs/>
          <w:sz w:val="28"/>
          <w:szCs w:val="28"/>
        </w:rPr>
      </w:pPr>
    </w:p>
    <w:p w14:paraId="54634435">
      <w:pPr>
        <w:jc w:val="center"/>
        <w:rPr>
          <w:rFonts w:ascii="宋体" w:hAnsi="宋体" w:eastAsia="仿宋_GB2312"/>
          <w:i/>
          <w:iCs/>
          <w:sz w:val="28"/>
          <w:szCs w:val="28"/>
        </w:rPr>
      </w:pPr>
    </w:p>
    <w:p w14:paraId="73302ABA">
      <w:pPr>
        <w:jc w:val="center"/>
        <w:rPr>
          <w:rFonts w:ascii="宋体" w:hAnsi="宋体" w:eastAsia="仿宋_GB2312"/>
          <w:i/>
          <w:iCs/>
          <w:sz w:val="28"/>
          <w:szCs w:val="28"/>
        </w:rPr>
      </w:pPr>
    </w:p>
    <w:p w14:paraId="6F3BABF6">
      <w:pPr>
        <w:jc w:val="center"/>
        <w:rPr>
          <w:rFonts w:ascii="宋体" w:hAnsi="宋体" w:eastAsia="仿宋_GB2312"/>
          <w:i/>
          <w:iCs/>
          <w:sz w:val="28"/>
          <w:szCs w:val="28"/>
        </w:rPr>
      </w:pPr>
    </w:p>
    <w:p w14:paraId="62D42F42">
      <w:pPr>
        <w:jc w:val="center"/>
        <w:rPr>
          <w:rFonts w:ascii="宋体" w:hAnsi="宋体" w:eastAsia="仿宋_GB2312"/>
          <w:i/>
          <w:iCs/>
          <w:sz w:val="28"/>
          <w:szCs w:val="28"/>
        </w:rPr>
      </w:pPr>
    </w:p>
    <w:p w14:paraId="08ECE348">
      <w:pPr>
        <w:pStyle w:val="2"/>
        <w:ind w:firstLine="280"/>
        <w:rPr>
          <w:rFonts w:ascii="宋体" w:hAnsi="宋体" w:eastAsia="仿宋_GB2312"/>
          <w:i/>
          <w:iCs/>
          <w:sz w:val="28"/>
          <w:szCs w:val="28"/>
        </w:rPr>
      </w:pPr>
    </w:p>
    <w:p w14:paraId="6F5B6868">
      <w:pPr>
        <w:pStyle w:val="2"/>
        <w:ind w:firstLine="280"/>
        <w:rPr>
          <w:rFonts w:ascii="宋体" w:hAnsi="宋体" w:eastAsia="仿宋_GB2312"/>
          <w:i/>
          <w:iCs/>
          <w:sz w:val="28"/>
          <w:szCs w:val="28"/>
        </w:rPr>
      </w:pPr>
    </w:p>
    <w:p w14:paraId="6D2D3E85">
      <w:pPr>
        <w:pStyle w:val="2"/>
        <w:ind w:firstLine="280"/>
        <w:rPr>
          <w:rFonts w:ascii="宋体" w:hAnsi="宋体" w:eastAsia="仿宋_GB2312"/>
          <w:i/>
          <w:iCs/>
          <w:sz w:val="28"/>
          <w:szCs w:val="28"/>
        </w:rPr>
      </w:pPr>
    </w:p>
    <w:p w14:paraId="600074D9">
      <w:pPr>
        <w:pStyle w:val="2"/>
        <w:ind w:firstLine="280"/>
        <w:rPr>
          <w:rFonts w:ascii="宋体" w:hAnsi="宋体" w:eastAsia="仿宋_GB2312"/>
          <w:i/>
          <w:iCs/>
          <w:sz w:val="28"/>
          <w:szCs w:val="28"/>
        </w:rPr>
      </w:pPr>
    </w:p>
    <w:p w14:paraId="3EE55F58">
      <w:pPr>
        <w:jc w:val="center"/>
        <w:rPr>
          <w:rFonts w:ascii="仿宋" w:hAnsi="仿宋" w:eastAsia="仿宋" w:cs="仿宋"/>
          <w:sz w:val="32"/>
          <w:szCs w:val="32"/>
        </w:rPr>
      </w:pPr>
      <w:r>
        <w:rPr>
          <w:rFonts w:hint="eastAsia" w:ascii="仿宋" w:hAnsi="仿宋" w:eastAsia="仿宋" w:cs="仿宋"/>
          <w:sz w:val="32"/>
          <w:szCs w:val="32"/>
        </w:rPr>
        <w:t>标准编制组</w:t>
      </w:r>
    </w:p>
    <w:p w14:paraId="4393A50A">
      <w:pPr>
        <w:jc w:val="center"/>
        <w:rPr>
          <w:rFonts w:ascii="宋体" w:hAnsi="宋体" w:cs="宋体"/>
          <w:b/>
          <w:sz w:val="32"/>
          <w:szCs w:val="32"/>
        </w:rPr>
      </w:pPr>
      <w:r>
        <w:rPr>
          <w:rFonts w:hint="eastAsia" w:ascii="宋体" w:hAnsi="宋体" w:cs="宋体"/>
          <w:sz w:val="32"/>
          <w:szCs w:val="32"/>
        </w:rPr>
        <w:t>2026年9月28日</w:t>
      </w:r>
    </w:p>
    <w:p w14:paraId="595D61F0">
      <w:pPr>
        <w:ind w:firstLine="880" w:firstLineChars="200"/>
        <w:jc w:val="center"/>
        <w:rPr>
          <w:rFonts w:ascii="宋体" w:hAnsi="宋体" w:eastAsia="方正小标宋_GBK" w:cs="方正小标宋_GBK"/>
          <w:sz w:val="44"/>
          <w:szCs w:val="44"/>
        </w:rPr>
        <w:sectPr>
          <w:headerReference r:id="rId20" w:type="default"/>
          <w:footerReference r:id="rId21" w:type="even"/>
          <w:pgSz w:w="11906" w:h="16838"/>
          <w:pgMar w:top="1701" w:right="1474" w:bottom="1474" w:left="1587" w:header="851" w:footer="992" w:gutter="0"/>
          <w:cols w:space="720" w:num="1"/>
          <w:docGrid w:type="lines" w:linePitch="312" w:charSpace="0"/>
        </w:sectPr>
      </w:pPr>
    </w:p>
    <w:p w14:paraId="2093294B">
      <w:pPr>
        <w:adjustRightInd/>
        <w:spacing w:line="240" w:lineRule="auto"/>
        <w:jc w:val="center"/>
        <w:rPr>
          <w:rFonts w:ascii="宋体" w:hAnsi="宋体" w:eastAsia="方正小标宋_GBK" w:cs="方正小标宋_GBK"/>
          <w:sz w:val="44"/>
          <w:szCs w:val="44"/>
        </w:rPr>
      </w:pPr>
      <w:r>
        <w:rPr>
          <w:rFonts w:hint="eastAsia" w:ascii="宋体" w:hAnsi="宋体" w:eastAsia="方正小标宋_GBK" w:cs="方正小标宋_GBK"/>
          <w:sz w:val="44"/>
          <w:szCs w:val="44"/>
        </w:rPr>
        <w:t>说 明</w:t>
      </w:r>
    </w:p>
    <w:p w14:paraId="5C71B972">
      <w:pPr>
        <w:adjustRightInd/>
        <w:spacing w:line="360" w:lineRule="auto"/>
        <w:rPr>
          <w:rFonts w:ascii="宋体" w:hAnsi="宋体" w:eastAsia="仿宋_GB2312"/>
          <w:sz w:val="24"/>
        </w:rPr>
      </w:pPr>
      <w:r>
        <w:rPr>
          <w:rFonts w:hint="eastAsia" w:ascii="宋体" w:hAnsi="宋体" w:eastAsia="仿宋_GB2312"/>
          <w:sz w:val="24"/>
        </w:rPr>
        <w:t xml:space="preserve">    1．标准编制说明的封面</w:t>
      </w:r>
    </w:p>
    <w:p w14:paraId="108271ED">
      <w:pPr>
        <w:adjustRightInd/>
        <w:spacing w:line="360" w:lineRule="auto"/>
        <w:ind w:firstLine="480" w:firstLineChars="200"/>
        <w:rPr>
          <w:rFonts w:ascii="宋体" w:hAnsi="宋体" w:eastAsia="仿宋_GB2312"/>
          <w:sz w:val="24"/>
        </w:rPr>
      </w:pPr>
      <w:r>
        <w:rPr>
          <w:rFonts w:hint="eastAsia" w:ascii="宋体" w:hAnsi="宋体" w:eastAsia="仿宋_GB2312"/>
          <w:sz w:val="24"/>
        </w:rPr>
        <w:t>（1）标准名称。应在封面靠上居中位置，与标准稿名称保持一致。字体字号为方正小标宋二号。</w:t>
      </w:r>
    </w:p>
    <w:p w14:paraId="2C15F64F">
      <w:pPr>
        <w:adjustRightInd/>
        <w:spacing w:line="360" w:lineRule="auto"/>
        <w:ind w:firstLine="480" w:firstLineChars="200"/>
        <w:rPr>
          <w:rFonts w:ascii="宋体" w:hAnsi="宋体" w:eastAsia="仿宋_GB2312"/>
          <w:sz w:val="24"/>
        </w:rPr>
      </w:pPr>
      <w:r>
        <w:rPr>
          <w:rFonts w:hint="eastAsia" w:ascii="宋体" w:hAnsi="宋体" w:eastAsia="仿宋_GB2312"/>
          <w:sz w:val="24"/>
        </w:rPr>
        <w:t>（2）标准文稿版次。在标准名称下方“征求意见稿、送审稿、报批稿”前的方框涂选其一，例如“</w:t>
      </w:r>
      <w:r>
        <w:rPr>
          <w:rFonts w:hint="eastAsia" w:ascii="宋体" w:hAnsi="宋体" w:eastAsia="华文宋体" w:cs="华文宋体"/>
          <w:sz w:val="24"/>
        </w:rPr>
        <w:t>■</w:t>
      </w:r>
      <w:r>
        <w:rPr>
          <w:rFonts w:hint="eastAsia" w:ascii="宋体" w:hAnsi="宋体" w:eastAsia="仿宋_GB2312"/>
          <w:sz w:val="24"/>
        </w:rPr>
        <w:t>征求意见稿”。字体字号为仿宋三号。</w:t>
      </w:r>
    </w:p>
    <w:p w14:paraId="4A7799CF">
      <w:pPr>
        <w:adjustRightInd/>
        <w:spacing w:line="360" w:lineRule="auto"/>
        <w:ind w:firstLine="480" w:firstLineChars="200"/>
        <w:rPr>
          <w:rFonts w:ascii="宋体" w:hAnsi="宋体" w:eastAsia="仿宋_GB2312"/>
          <w:sz w:val="24"/>
        </w:rPr>
      </w:pPr>
      <w:r>
        <w:rPr>
          <w:rFonts w:hint="eastAsia" w:ascii="宋体" w:hAnsi="宋体" w:eastAsia="仿宋_GB2312"/>
          <w:sz w:val="24"/>
        </w:rPr>
        <w:t>（3）标准编制组。在封面靠下居中位置。字体字号为仿宋三号。</w:t>
      </w:r>
    </w:p>
    <w:p w14:paraId="552809FB">
      <w:pPr>
        <w:adjustRightInd/>
        <w:spacing w:line="360" w:lineRule="auto"/>
        <w:ind w:firstLine="480" w:firstLineChars="200"/>
        <w:rPr>
          <w:rFonts w:ascii="宋体" w:hAnsi="宋体" w:eastAsia="仿宋_GB2312"/>
          <w:sz w:val="24"/>
        </w:rPr>
      </w:pPr>
      <w:r>
        <w:rPr>
          <w:rFonts w:hint="eastAsia" w:ascii="宋体" w:hAnsi="宋体" w:eastAsia="仿宋_GB2312"/>
          <w:sz w:val="24"/>
        </w:rPr>
        <w:t>（4）编制日期。编制日期为本阶段完成的日期，以数字格式书写，字体为宋体，字号为三号。如：“2020</w:t>
      </w:r>
      <w:r>
        <w:rPr>
          <w:rFonts w:hint="eastAsia" w:ascii="宋体" w:hAnsi="宋体" w:eastAsia="仿宋_GB2312" w:cs="仿宋_GB2312"/>
          <w:sz w:val="24"/>
        </w:rPr>
        <w:t>年3月30日”</w:t>
      </w:r>
      <w:r>
        <w:rPr>
          <w:rFonts w:hint="eastAsia" w:ascii="宋体" w:hAnsi="宋体" w:eastAsia="仿宋_GB2312"/>
          <w:sz w:val="24"/>
        </w:rPr>
        <w:t>。</w:t>
      </w:r>
    </w:p>
    <w:p w14:paraId="31766172">
      <w:pPr>
        <w:adjustRightInd/>
        <w:spacing w:line="360" w:lineRule="auto"/>
        <w:rPr>
          <w:rFonts w:ascii="宋体" w:hAnsi="宋体" w:eastAsia="仿宋_GB2312"/>
          <w:sz w:val="24"/>
        </w:rPr>
      </w:pPr>
      <w:r>
        <w:rPr>
          <w:rFonts w:hint="eastAsia" w:ascii="宋体" w:hAnsi="宋体" w:eastAsia="仿宋_GB2312"/>
          <w:sz w:val="24"/>
        </w:rPr>
        <w:t xml:space="preserve">    2．标准编制说明的正文</w:t>
      </w:r>
    </w:p>
    <w:p w14:paraId="39FC9289">
      <w:pPr>
        <w:adjustRightInd/>
        <w:spacing w:line="360" w:lineRule="auto"/>
        <w:ind w:firstLine="480" w:firstLineChars="200"/>
        <w:rPr>
          <w:rFonts w:ascii="宋体" w:hAnsi="宋体" w:eastAsia="仿宋_GB2312"/>
          <w:sz w:val="24"/>
        </w:rPr>
      </w:pPr>
      <w:r>
        <w:rPr>
          <w:rFonts w:hint="eastAsia" w:ascii="宋体" w:hAnsi="宋体" w:eastAsia="仿宋_GB2312"/>
          <w:sz w:val="24"/>
        </w:rPr>
        <w:t>（1）正文页边距为上3cm、下</w:t>
      </w:r>
      <w:r>
        <w:rPr>
          <w:rFonts w:ascii="宋体" w:hAnsi="宋体" w:eastAsia="仿宋_GB2312"/>
          <w:sz w:val="24"/>
        </w:rPr>
        <w:t>2.6</w:t>
      </w:r>
      <w:r>
        <w:rPr>
          <w:rFonts w:hint="eastAsia" w:ascii="宋体" w:hAnsi="宋体" w:eastAsia="仿宋_GB2312"/>
          <w:sz w:val="24"/>
        </w:rPr>
        <w:t>cm、左2.8cm、右2.6cm。</w:t>
      </w:r>
    </w:p>
    <w:p w14:paraId="2DCC2E76">
      <w:pPr>
        <w:adjustRightInd/>
        <w:spacing w:line="360" w:lineRule="auto"/>
        <w:ind w:firstLine="480" w:firstLineChars="200"/>
        <w:rPr>
          <w:rFonts w:ascii="宋体" w:hAnsi="宋体" w:eastAsia="仿宋_GB2312"/>
          <w:sz w:val="24"/>
        </w:rPr>
      </w:pPr>
      <w:r>
        <w:rPr>
          <w:rFonts w:hint="eastAsia" w:ascii="宋体" w:hAnsi="宋体" w:eastAsia="仿宋_GB2312"/>
          <w:sz w:val="24"/>
        </w:rPr>
        <w:t>（2）正文标题，一级标题用黑体三号字，二级标题用楷体三号字不加粗。三级、四级标题用仿宋GB-2312三号字不加粗。文中结构层次序数为“一”“（一）”“1.”“（1）”标注。</w:t>
      </w:r>
    </w:p>
    <w:p w14:paraId="7AFB6F32">
      <w:pPr>
        <w:adjustRightInd/>
        <w:spacing w:line="360" w:lineRule="auto"/>
        <w:ind w:firstLine="480" w:firstLineChars="200"/>
        <w:rPr>
          <w:rFonts w:ascii="宋体" w:hAnsi="宋体" w:eastAsia="仿宋_GB2312"/>
          <w:sz w:val="24"/>
        </w:rPr>
      </w:pPr>
      <w:r>
        <w:rPr>
          <w:rFonts w:hint="eastAsia" w:ascii="宋体" w:hAnsi="宋体" w:eastAsia="仿宋_GB2312"/>
          <w:sz w:val="24"/>
        </w:rPr>
        <w:t>（3）正文中文字体字号为仿宋GB-2312三号字，数字、字母等西文字体为宋体三号字，段落行距为28磅，首行缩进2字符。</w:t>
      </w:r>
    </w:p>
    <w:p w14:paraId="359D311F">
      <w:pPr>
        <w:adjustRightInd/>
        <w:spacing w:line="360" w:lineRule="auto"/>
        <w:rPr>
          <w:rFonts w:ascii="宋体" w:hAnsi="宋体" w:eastAsia="仿宋_GB2312"/>
          <w:sz w:val="24"/>
        </w:rPr>
      </w:pPr>
      <w:r>
        <w:rPr>
          <w:rFonts w:hint="eastAsia" w:ascii="宋体" w:hAnsi="宋体" w:eastAsia="仿宋_GB2312"/>
          <w:sz w:val="24"/>
        </w:rPr>
        <w:t xml:space="preserve">    3.编制说明的内容</w:t>
      </w:r>
    </w:p>
    <w:p w14:paraId="18640E40">
      <w:pPr>
        <w:widowControl/>
        <w:adjustRightInd/>
        <w:spacing w:line="360" w:lineRule="auto"/>
        <w:ind w:firstLine="480"/>
        <w:rPr>
          <w:rFonts w:ascii="宋体" w:hAnsi="宋体" w:eastAsia="仿宋_GB2312"/>
          <w:sz w:val="24"/>
        </w:rPr>
      </w:pPr>
      <w:r>
        <w:rPr>
          <w:rFonts w:hint="eastAsia" w:ascii="宋体" w:hAnsi="宋体" w:eastAsia="仿宋_GB2312"/>
          <w:sz w:val="24"/>
        </w:rPr>
        <w:t>（1）应按照格式要求逐条说明，不涉及的填“无”。</w:t>
      </w:r>
    </w:p>
    <w:p w14:paraId="6F1C7A7B">
      <w:pPr>
        <w:widowControl/>
        <w:adjustRightInd/>
        <w:spacing w:line="360" w:lineRule="auto"/>
        <w:ind w:firstLine="480"/>
        <w:rPr>
          <w:rFonts w:ascii="宋体" w:hAnsi="宋体" w:eastAsia="仿宋_GB2312"/>
          <w:sz w:val="24"/>
        </w:rPr>
      </w:pPr>
      <w:r>
        <w:rPr>
          <w:rFonts w:hint="eastAsia" w:ascii="宋体" w:hAnsi="宋体" w:eastAsia="仿宋_GB2312"/>
          <w:sz w:val="24"/>
        </w:rPr>
        <w:t>（2）应根据工作进度不断补充完善，工作过程有连续性。</w:t>
      </w:r>
    </w:p>
    <w:p w14:paraId="62C25422">
      <w:pPr>
        <w:widowControl/>
        <w:adjustRightInd/>
        <w:spacing w:line="360" w:lineRule="auto"/>
        <w:ind w:firstLine="480"/>
        <w:rPr>
          <w:rFonts w:ascii="宋体" w:hAnsi="宋体" w:eastAsia="仿宋_GB2312"/>
          <w:sz w:val="24"/>
        </w:rPr>
      </w:pPr>
      <w:r>
        <w:rPr>
          <w:rFonts w:hint="eastAsia" w:ascii="宋体" w:hAnsi="宋体" w:eastAsia="仿宋_GB2312"/>
          <w:sz w:val="24"/>
        </w:rPr>
        <w:t>（3）编制说明不是对标准内容的复制。</w:t>
      </w:r>
    </w:p>
    <w:p w14:paraId="1A28EF3B">
      <w:pPr>
        <w:adjustRightInd/>
        <w:spacing w:line="360" w:lineRule="auto"/>
        <w:ind w:firstLine="480" w:firstLineChars="200"/>
        <w:rPr>
          <w:rFonts w:ascii="宋体" w:hAnsi="宋体" w:eastAsia="仿宋_GB2312"/>
          <w:sz w:val="24"/>
        </w:rPr>
      </w:pPr>
      <w:r>
        <w:rPr>
          <w:rFonts w:hint="eastAsia" w:ascii="宋体" w:hAnsi="宋体" w:eastAsia="仿宋_GB2312"/>
          <w:sz w:val="24"/>
        </w:rPr>
        <w:t>（4）应关注强制性标准的依据、修订标准的主要技术内容比对、标准实施过渡期、强制性标准实施政策等重要内容的编写，详见下文模板。</w:t>
      </w:r>
    </w:p>
    <w:p w14:paraId="56478719">
      <w:pPr>
        <w:widowControl/>
        <w:adjustRightInd/>
        <w:spacing w:line="360" w:lineRule="auto"/>
        <w:rPr>
          <w:rFonts w:ascii="宋体" w:hAnsi="宋体" w:eastAsia="仿宋_GB2312"/>
          <w:sz w:val="24"/>
        </w:rPr>
      </w:pPr>
      <w:r>
        <w:rPr>
          <w:rFonts w:hint="eastAsia" w:ascii="宋体" w:hAnsi="宋体" w:eastAsia="仿宋_GB2312"/>
          <w:sz w:val="24"/>
        </w:rPr>
        <w:t xml:space="preserve">    4.其他</w:t>
      </w:r>
    </w:p>
    <w:p w14:paraId="18EE189C">
      <w:pPr>
        <w:widowControl/>
        <w:adjustRightInd/>
        <w:spacing w:line="360" w:lineRule="auto"/>
        <w:ind w:firstLine="480"/>
        <w:rPr>
          <w:rFonts w:ascii="宋体" w:hAnsi="宋体" w:eastAsia="仿宋_GB2312"/>
          <w:sz w:val="24"/>
        </w:rPr>
      </w:pPr>
      <w:r>
        <w:rPr>
          <w:rFonts w:hint="eastAsia" w:ascii="宋体" w:hAnsi="宋体" w:eastAsia="仿宋_GB2312"/>
          <w:sz w:val="24"/>
        </w:rPr>
        <w:t>（1）编制说明内容模板中的斜体文字内容为参考，正式提交后应删除。</w:t>
      </w:r>
    </w:p>
    <w:p w14:paraId="0EA0EEF3">
      <w:pPr>
        <w:widowControl/>
        <w:adjustRightInd/>
        <w:spacing w:line="360" w:lineRule="auto"/>
        <w:ind w:firstLine="480"/>
        <w:rPr>
          <w:rFonts w:ascii="宋体" w:hAnsi="宋体" w:eastAsia="仿宋_GB2312"/>
          <w:sz w:val="24"/>
        </w:rPr>
      </w:pPr>
      <w:r>
        <w:rPr>
          <w:rFonts w:hint="eastAsia" w:ascii="宋体" w:hAnsi="宋体" w:eastAsia="仿宋_GB2312"/>
          <w:sz w:val="24"/>
        </w:rPr>
        <w:t>（2）编制说明应正反面打印。本说明保留，打印首页反面。</w:t>
      </w:r>
    </w:p>
    <w:p w14:paraId="64513E5D">
      <w:pPr>
        <w:widowControl/>
        <w:adjustRightInd/>
        <w:spacing w:line="360" w:lineRule="auto"/>
        <w:ind w:firstLine="480"/>
        <w:rPr>
          <w:rFonts w:ascii="宋体" w:hAnsi="宋体" w:eastAsia="仿宋_GB2312"/>
          <w:sz w:val="24"/>
        </w:rPr>
      </w:pPr>
      <w:r>
        <w:rPr>
          <w:rFonts w:hint="eastAsia" w:ascii="宋体" w:hAnsi="宋体" w:eastAsia="仿宋_GB2312"/>
          <w:sz w:val="24"/>
        </w:rPr>
        <w:t>（3）页码从第三页开始编，起始页码为“</w:t>
      </w:r>
      <w:r>
        <w:rPr>
          <w:rFonts w:ascii="宋体" w:hAnsi="宋体" w:eastAsia="仿宋_GB2312"/>
          <w:sz w:val="24"/>
        </w:rPr>
        <w:t>1</w:t>
      </w:r>
      <w:r>
        <w:rPr>
          <w:rFonts w:hint="eastAsia" w:ascii="宋体" w:hAnsi="宋体" w:eastAsia="仿宋_GB2312"/>
          <w:sz w:val="24"/>
        </w:rPr>
        <w:t>”，页码为五号宋体。</w:t>
      </w:r>
    </w:p>
    <w:p w14:paraId="12303807">
      <w:pPr>
        <w:pStyle w:val="2"/>
        <w:ind w:firstLine="240"/>
        <w:rPr>
          <w:rFonts w:ascii="宋体" w:hAnsi="宋体" w:eastAsia="仿宋_GB2312"/>
          <w:sz w:val="24"/>
          <w:szCs w:val="21"/>
        </w:rPr>
      </w:pPr>
    </w:p>
    <w:p w14:paraId="531D945C">
      <w:r>
        <w:rPr>
          <w:rFonts w:hint="eastAsia"/>
        </w:rPr>
        <w:br w:type="page"/>
      </w:r>
    </w:p>
    <w:p w14:paraId="3EFDE15D">
      <w:pPr>
        <w:snapToGrid w:val="0"/>
        <w:spacing w:line="360" w:lineRule="auto"/>
        <w:ind w:firstLine="560" w:firstLineChars="200"/>
        <w:rPr>
          <w:rFonts w:ascii="Times New Roman" w:hAnsi="Times New Roman" w:eastAsia="仿宋"/>
          <w:sz w:val="28"/>
          <w:szCs w:val="28"/>
        </w:rPr>
        <w:sectPr>
          <w:pgSz w:w="11906" w:h="16838"/>
          <w:pgMar w:top="1701" w:right="1474" w:bottom="1474" w:left="1587" w:header="851" w:footer="992" w:gutter="0"/>
          <w:cols w:space="720" w:num="1"/>
          <w:docGrid w:type="lines" w:linePitch="312" w:charSpace="0"/>
        </w:sectPr>
      </w:pPr>
    </w:p>
    <w:p w14:paraId="5529C5A7">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一、工作简况</w:t>
      </w:r>
    </w:p>
    <w:p w14:paraId="2C317F90">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（一）任务来源</w:t>
      </w:r>
    </w:p>
    <w:p w14:paraId="76EF176E">
      <w:pPr>
        <w:snapToGrid w:val="0"/>
        <w:spacing w:line="560" w:lineRule="exact"/>
        <w:ind w:firstLine="620" w:firstLineChars="200"/>
        <w:rPr>
          <w:rFonts w:ascii="宋体" w:hAnsi="宋体" w:eastAsia="仿宋_GB2312" w:cs="仿宋_GB2312"/>
          <w:spacing w:val="-5"/>
          <w:kern w:val="0"/>
          <w:sz w:val="32"/>
          <w:szCs w:val="32"/>
        </w:rPr>
      </w:pPr>
      <w:r>
        <w:rPr>
          <w:rFonts w:hint="eastAsia" w:ascii="仿宋_GB2312" w:hAnsi="仿宋_GB2312" w:eastAsia="仿宋_GB2312" w:cs="仿宋_GB2312"/>
          <w:spacing w:val="-5"/>
          <w:kern w:val="0"/>
          <w:sz w:val="32"/>
          <w:szCs w:val="32"/>
        </w:rPr>
        <w:t>根据应急管理部办公厅《关于印发17项行业标准制修订计划的通知》（应急厅函〔2026〕84号），《陆上石油天然气企业安全现状评价导则》（以下简称《导则》）的计划号为2026-AQ-10，项目周期22个月，</w:t>
      </w:r>
      <w:r>
        <w:rPr>
          <w:rFonts w:hint="eastAsia" w:ascii="宋体" w:hAnsi="宋体" w:eastAsia="仿宋_GB2312" w:cs="仿宋_GB2312"/>
          <w:spacing w:val="-5"/>
          <w:kern w:val="0"/>
          <w:sz w:val="32"/>
          <w:szCs w:val="32"/>
        </w:rPr>
        <w:t>由全国安全生产标准化技术委员会石油天然气开采分技术委员会（TC 288/SC 10）组织起草和审查。</w:t>
      </w:r>
    </w:p>
    <w:p w14:paraId="0CF33712">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（二）制定背景</w:t>
      </w:r>
    </w:p>
    <w:p w14:paraId="35E716F9">
      <w:pPr>
        <w:snapToGrid w:val="0"/>
        <w:spacing w:line="560" w:lineRule="exact"/>
        <w:ind w:firstLine="620" w:firstLineChars="200"/>
        <w:rPr>
          <w:rFonts w:ascii="宋体" w:hAnsi="宋体" w:eastAsia="仿宋_GB2312" w:cs="仿宋_GB2312"/>
          <w:spacing w:val="-5"/>
          <w:sz w:val="32"/>
          <w:szCs w:val="32"/>
        </w:rPr>
      </w:pPr>
      <w:r>
        <w:rPr>
          <w:rFonts w:hint="eastAsia" w:ascii="仿宋_GB2312" w:hAnsi="仿宋_GB2312" w:eastAsia="仿宋_GB2312" w:cs="仿宋_GB2312"/>
          <w:spacing w:val="-5"/>
          <w:kern w:val="0"/>
          <w:sz w:val="32"/>
          <w:szCs w:val="32"/>
        </w:rPr>
        <w:t>党的十八大以来，习近平总书记高度重视能源安全与安全生产工作，多次强调“能源的饭碗必须端在自己手里”，要求“坚持安全第一、预防为主”，深入推进重点行业领域安全生产风险专项整治，并明确指出企业必须做到安全投入、安全培训、基础管理、应急救援“四个到位”。党的二十大和二十届三中全会进一步对统筹发展和安全、实现高质量发展和高水平安全良性互动作出战略部署。陆上石油天然气开采是保障国家能源安全的压舱石，其勘探、钻井、井下作业、采油采气及集输等业务覆盖地域广、工艺复杂、社会影响面大，作业过程中火灾、爆炸、中毒及井喷失控等重大风险交织，直接关系到人民生命财产安全和能源命脉稳定，行业安全生产容不得半点闪失。</w:t>
      </w:r>
    </w:p>
    <w:p w14:paraId="583268DD">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当前陆上油气开采领域高风险特征极为突出，安全评价监管需求迫切。国内“三高”井数量基数大，井口环空带压、管柱腐蚀及H₂S应力开裂等问题易诱发井口泄漏失控，2000年以来已发生25井次相关险情事故；中石油系统油气站场达1.6万座，其中含硫、酸性等高后果场站占比高，设备老化及液化气球罐泄漏后火灾爆炸风险突出；集输管道总里程超40万公里，内腐蚀、第三方破坏及地质灾害等多重威胁持续叠加。按照《非煤矿矿山企业安全生产许可证实施办法》（原安监总局令第20号）规定，安全现状评价报告是石油天然气开采企业取证及延期换证的法定前置支撑材料，属地应急管理部门在监管实践中亦将其作为核心判定依据，行业对统一、权威、针对性强的现状评价技术标准需求极为紧迫。</w:t>
      </w:r>
    </w:p>
    <w:p w14:paraId="6DF8D7EA">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现行安全技术标准在陆上油气开采现状评价领域存在明显断档与空白。2007年发布、2023年修订的AQ系列标准中，《安全现状评价导则》《安全验收评价导则》已更新完善，但国家层面《安全现状评价导则》至今缺位；原安监总局2003年印发的《陆上石油和天然气开采业安全评价导则》已于2016年被宣布失效，行业长期处于“无专项标准可依”状态；2018年河北省发布的地方标准《非煤矿山安全现状评价导则》内容仅4页且偏重金属非金属矿山，未体现油气开采“三高井、含硫场站、井控安全”等专业特性，指导性和针对性严重不足。与此同时，管道领域已于2025年底发布《陆上油气长输管道建设项目安全预评价导则》（AQ 3057-2025）等系列标准，审查逻辑清晰、专业适配度高，形成了良好示范；2023年陆上开采领域也已立项多项安全现状评价及安全设施设计导则，但唯独缺失企业安全现状评价这一关键环节，“评价—设计—验收—现状保持”的全链条标准闭环尚未形成。</w:t>
      </w:r>
    </w:p>
    <w:p w14:paraId="0A8F3D71">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制定《陆上石油天然气企业安全现状评价导则》AQ标准，既是落实《中华人民共和国安全生产法》“从源头上防范化解重大安全风险”要求、补齐法规体系技术短板的必然举措，也是为企业系统诊断井、站、管全链条持续安全状态、支撑安全生产许可证规范换证提供的技术工具。标准出台后，将有效统一中介机构评价尺度，为应急管理部门实施差异化、精准化安全监管提供刚性标尺，切实解决当前评价报告质量参差不齐、危险有害因素辨识深度不一的现实问题，对提升陆上油气开采本质安全水平和保障国家能源安全具有重要现实意义。</w:t>
      </w:r>
    </w:p>
    <w:p w14:paraId="03EBFE6E">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（三）起草小组人员组成及所在单位</w:t>
      </w:r>
    </w:p>
    <w:p w14:paraId="3AD13FF2">
      <w:pPr>
        <w:snapToGrid w:val="0"/>
        <w:spacing w:line="560" w:lineRule="exact"/>
        <w:ind w:firstLine="620" w:firstLineChars="200"/>
        <w:rPr>
          <w:rFonts w:ascii="宋体" w:hAnsi="宋体" w:eastAsia="仿宋_GB2312" w:cs="汉仪中秀体简"/>
          <w:sz w:val="32"/>
          <w:szCs w:val="28"/>
          <w:shd w:val="clear" w:color="auto" w:fill="FFFFFF"/>
        </w:rPr>
      </w:pPr>
      <w:r>
        <w:rPr>
          <w:rFonts w:hint="eastAsia" w:ascii="仿宋_GB2312" w:hAnsi="仿宋_GB2312" w:eastAsia="仿宋_GB2312" w:cs="仿宋_GB2312"/>
          <w:spacing w:val="-5"/>
          <w:kern w:val="0"/>
          <w:sz w:val="32"/>
          <w:szCs w:val="32"/>
        </w:rPr>
        <w:t>根据立项计划，2024年4月成立标准起草工作组，中国石油集团安全环保技术研究院有限公司牵头负责本文件的制订工作，中石化（山东）检测评价研究有限公司、中海油安全技术服务有限公司、中国安全生产科学研究院、青岛中油华东院安全环保有限公司、河南油田工程科技股份有限公司、中国石油天然气股份有限公司长庆油田分公司、中国石油天然气股份有限公司西南油气田分公司、中国石油天然气股份有限公司新疆油田分公司、中国石油天然气股份有限公司华北油田分公司、中国石油天然气股份有限公司青海油田分公司、中国石油天然气股份有限公司辽河油田分公司参加标准的制订工作。</w:t>
      </w:r>
    </w:p>
    <w:p w14:paraId="641901DF">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（四）主要起草过程</w:t>
      </w:r>
    </w:p>
    <w:p w14:paraId="09AA2DBF">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1.初稿编制阶段</w:t>
      </w:r>
    </w:p>
    <w:p w14:paraId="49B4B5D5">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2024年12月，全国安全生产标准化技术委员会石油天然气开采安全分技术委员会（以下简称“石油安全分标委”）先后组织召开标准立项论证会和审查会，起草工作组进行了汇报，本标准顺利通过了论证和审查。</w:t>
      </w:r>
    </w:p>
    <w:p w14:paraId="6F25CEB8">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2025年1月，牵头单位中国石油集团安全环保技术研究院有限公司组织参编单位商讨标准编制思路，确定标准编写框架结构。</w:t>
      </w:r>
    </w:p>
    <w:p w14:paraId="4D66389B">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2025年2月，起草工作组收集并研究陆上石油天然气企业安全现状评价目前存在的主要问题，各起草单位讨论了标准草案，并按照职责分工进行了完善。</w:t>
      </w:r>
    </w:p>
    <w:p w14:paraId="4ABCD4D5">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2024年3月-2025年6月，起草工作组调研并收集整理陆上石油主要作业者、陆上石油安全评价机构的意见建议，工作组按照相关意见和建议对标准的内容进一步修订完善。</w:t>
      </w:r>
    </w:p>
    <w:p w14:paraId="1771B50F">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2025年6月，中国石油集团安全环保技术研究院有限公司编写的《陆上石油天然气企业安全现状评价导则》，进一步修改完善了标准内容，形成标准初稿。</w:t>
      </w:r>
    </w:p>
    <w:p w14:paraId="333AA25B">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2026年3月9日，应急管理部办公厅印发《关于17项行业标准制修订计划的通知》。</w:t>
      </w:r>
    </w:p>
    <w:p w14:paraId="100D394E">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2.征求意见阶段</w:t>
      </w:r>
    </w:p>
    <w:p w14:paraId="61B01DF6">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2026年3月-8月，石油安全分标委先后组织两次标准初稿审核会，与会代表与专家听取了起草工作组的汇报，就初稿全文进行了讨论，提出了相关修改意见。</w:t>
      </w:r>
    </w:p>
    <w:p w14:paraId="3BC9BEE6">
      <w:pPr>
        <w:snapToGrid w:val="0"/>
        <w:spacing w:line="560" w:lineRule="exact"/>
        <w:ind w:firstLine="620" w:firstLineChars="200"/>
      </w:pPr>
      <w:r>
        <w:rPr>
          <w:rFonts w:hint="eastAsia" w:ascii="仿宋_GB2312" w:hAnsi="仿宋_GB2312" w:eastAsia="仿宋_GB2312" w:cs="仿宋_GB2312"/>
          <w:spacing w:val="-5"/>
          <w:kern w:val="0"/>
          <w:sz w:val="32"/>
          <w:szCs w:val="32"/>
        </w:rPr>
        <w:t>2026年9月，石油安全分标委组织6家起草单位对标准进行了研讨，同时征求了应急管理部的意见，修改完善形成了标准征求意见稿。</w:t>
      </w:r>
    </w:p>
    <w:p w14:paraId="52A1D75B">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二、标准编制原则、主要技术内容及其确定依据</w:t>
      </w:r>
    </w:p>
    <w:p w14:paraId="302EA919">
      <w:pPr>
        <w:spacing w:line="560" w:lineRule="exact"/>
        <w:ind w:firstLine="640" w:firstLineChars="200"/>
        <w:outlineLvl w:val="1"/>
        <w:rPr>
          <w:rFonts w:ascii="楷体" w:hAnsi="楷体" w:eastAsia="楷体"/>
          <w:sz w:val="32"/>
          <w:szCs w:val="32"/>
          <w:shd w:val="clear" w:color="auto" w:fill="FFFFFF"/>
        </w:rPr>
      </w:pPr>
      <w:r>
        <w:rPr>
          <w:rFonts w:hint="eastAsia" w:ascii="楷体" w:hAnsi="楷体" w:eastAsia="楷体"/>
          <w:sz w:val="32"/>
          <w:szCs w:val="32"/>
          <w:shd w:val="clear" w:color="auto" w:fill="FFFFFF"/>
        </w:rPr>
        <w:t>（一）标准编制原则</w:t>
      </w:r>
    </w:p>
    <w:p w14:paraId="0AEFB9B5">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1.协调性</w:t>
      </w:r>
    </w:p>
    <w:p w14:paraId="350DED0A">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本文件编制过程中注意保证与现行法律法规、规章规范的协调性。与《中华人民共和国安全生产法》《建设项目安全设施“三同时”监督管理办法》以及《安全评价通则》（AQ 8001）等法律法规及相关标准的最新版本和要求保持一致，具体条款不能与法律法规、相关标准之间出现矛盾，避免给标准的实施造成困难。</w:t>
      </w:r>
    </w:p>
    <w:p w14:paraId="442F10B5">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2.适用性</w:t>
      </w:r>
    </w:p>
    <w:p w14:paraId="038EC219">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本文件编制过程中广泛收集现行法律法规、标准、规范，总结分析了陆上石油天然气企业安全现状评价的相关要求，确保标准条款与发展实际相结合，确保标准的适用性。</w:t>
      </w:r>
    </w:p>
    <w:p w14:paraId="4408CD60">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3.科学性</w:t>
      </w:r>
    </w:p>
    <w:p w14:paraId="72913E2B">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本文件在充分调查研究、广泛征求意见的基础上完成。标准编制由行业内具有丰富实践经验的多家单位共同完成，充分吸收、总结陆上石油天然气企业安全现状评价良好实践经验，保证标准的科学性。</w:t>
      </w:r>
    </w:p>
    <w:p w14:paraId="02F531F2">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4.规范性</w:t>
      </w:r>
    </w:p>
    <w:p w14:paraId="30109BDA">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本文件在格式和文字表述方面严格按照《标准化工作导则 第1部分：标准化文件的结构和起草规则》（GB/T 1.1-2020）的要求进行编写，做到文件内容表述规范。</w:t>
      </w:r>
    </w:p>
    <w:p w14:paraId="73870100">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5.可执行性</w:t>
      </w:r>
    </w:p>
    <w:p w14:paraId="273DE531">
      <w:pPr>
        <w:snapToGrid w:val="0"/>
        <w:spacing w:line="560" w:lineRule="exact"/>
        <w:ind w:firstLine="62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文件编制过程中多次组织专家研讨会、评审会，标准条款内容广泛征求相关单位的意见建议。对于反馈的意见建议，起草工作组组织专题讨论，采纳吸收科学合理的意见建议，确保标准内容贴近实际需求，兼顾标准的可执行性。</w:t>
      </w:r>
    </w:p>
    <w:p w14:paraId="297EE997">
      <w:pPr>
        <w:spacing w:line="560" w:lineRule="exact"/>
        <w:ind w:firstLine="640" w:firstLineChars="200"/>
        <w:outlineLvl w:val="1"/>
        <w:rPr>
          <w:rFonts w:ascii="楷体" w:hAnsi="楷体" w:eastAsia="楷体"/>
          <w:sz w:val="32"/>
          <w:szCs w:val="32"/>
          <w:shd w:val="clear" w:color="auto" w:fill="FFFFFF"/>
        </w:rPr>
      </w:pPr>
      <w:r>
        <w:rPr>
          <w:rFonts w:hint="eastAsia" w:ascii="楷体" w:hAnsi="楷体" w:eastAsia="楷体"/>
          <w:sz w:val="32"/>
          <w:szCs w:val="32"/>
          <w:shd w:val="clear" w:color="auto" w:fill="FFFFFF"/>
        </w:rPr>
        <w:t>（二）标准主要技术内容及确定依据</w:t>
      </w:r>
    </w:p>
    <w:p w14:paraId="06E5AC70">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范围</w:t>
      </w:r>
    </w:p>
    <w:p w14:paraId="7DDAEE12">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标准范围为从事陆上石油天然气开采（包括采油、采气、天然气处理、油气藏型地下储气库）以及物探、钻井、录井、测井、井下作业、油建施工等企业的安全现状评价。</w:t>
      </w:r>
    </w:p>
    <w:p w14:paraId="6FB0B3AD">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规范性引用文件</w:t>
      </w:r>
    </w:p>
    <w:p w14:paraId="1EC8BBE2">
      <w:pPr>
        <w:pStyle w:val="57"/>
        <w:adjustRightInd w:val="0"/>
        <w:snapToGrid w:val="0"/>
        <w:spacing w:line="560" w:lineRule="exact"/>
        <w:ind w:firstLine="640"/>
        <w:rPr>
          <w:rFonts w:ascii="仿宋_GB2312" w:hAnsi="仿宋_GB2312" w:eastAsia="仿宋_GB2312" w:cs="仿宋_GB2312"/>
          <w:iCs/>
          <w:sz w:val="32"/>
          <w:szCs w:val="32"/>
        </w:rPr>
      </w:pPr>
      <w:r>
        <w:rPr>
          <w:rFonts w:hint="eastAsia" w:ascii="仿宋_GB2312" w:hAnsi="仿宋_GB2312" w:eastAsia="仿宋_GB2312" w:cs="仿宋_GB2312"/>
          <w:sz w:val="32"/>
          <w:szCs w:val="32"/>
        </w:rPr>
        <w:t>本文件没有规范性引用文件。</w:t>
      </w:r>
    </w:p>
    <w:p w14:paraId="4728CC77">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术语与定义</w:t>
      </w:r>
      <w:bookmarkStart w:id="262" w:name="_Hlk68821606"/>
    </w:p>
    <w:p w14:paraId="67CC1FB2">
      <w:pPr>
        <w:snapToGrid w:val="0"/>
        <w:spacing w:line="560" w:lineRule="exact"/>
        <w:ind w:firstLine="640" w:firstLineChars="200"/>
        <w:rPr>
          <w:rFonts w:ascii="仿宋_GB2312" w:hAnsi="仿宋_GB2312" w:eastAsia="仿宋_GB2312" w:cs="仿宋_GB2312"/>
          <w:iCs/>
          <w:sz w:val="32"/>
          <w:szCs w:val="32"/>
        </w:rPr>
      </w:pPr>
      <w:r>
        <w:rPr>
          <w:rFonts w:hint="eastAsia" w:ascii="仿宋_GB2312" w:hAnsi="仿宋_GB2312" w:eastAsia="仿宋_GB2312" w:cs="仿宋_GB2312"/>
          <w:iCs/>
          <w:sz w:val="32"/>
          <w:szCs w:val="32"/>
        </w:rPr>
        <w:t>本文件没有需要界定的术语和定义。</w:t>
      </w:r>
    </w:p>
    <w:bookmarkEnd w:id="262"/>
    <w:p w14:paraId="22DBFD1F">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bookmarkStart w:id="263" w:name="_Toc28161"/>
      <w:bookmarkStart w:id="264" w:name="_Toc10984"/>
      <w:bookmarkStart w:id="265" w:name="_Toc501931577"/>
      <w:r>
        <w:rPr>
          <w:rFonts w:hint="eastAsia" w:ascii="仿宋_GB2312" w:hAnsi="仿宋_GB2312" w:eastAsia="仿宋_GB2312" w:cs="仿宋_GB2312"/>
          <w:spacing w:val="5"/>
          <w:kern w:val="0"/>
          <w:sz w:val="32"/>
          <w:szCs w:val="32"/>
        </w:rPr>
        <w:t>总体要求</w:t>
      </w:r>
    </w:p>
    <w:p w14:paraId="317621C3">
      <w:pPr>
        <w:snapToGrid w:val="0"/>
        <w:spacing w:line="560" w:lineRule="exact"/>
        <w:ind w:firstLine="640" w:firstLineChars="200"/>
        <w:rPr>
          <w:rFonts w:ascii="仿宋_GB2312" w:hAnsi="仿宋_GB2312" w:eastAsia="仿宋_GB2312" w:cs="仿宋_GB2312"/>
          <w:iCs/>
          <w:sz w:val="32"/>
          <w:szCs w:val="32"/>
        </w:rPr>
      </w:pPr>
      <w:r>
        <w:rPr>
          <w:rFonts w:hint="eastAsia" w:ascii="仿宋_GB2312" w:hAnsi="仿宋_GB2312" w:eastAsia="仿宋_GB2312" w:cs="仿宋_GB2312"/>
          <w:iCs/>
          <w:sz w:val="32"/>
          <w:szCs w:val="32"/>
        </w:rPr>
        <w:t>根据评审会专家意见，将开展安全现状评价活动的总体要求单独成章。对评价机构资质、评价项目组人员、安全现状评价报告编制以及过程控制记录的要求进行了规定。</w:t>
      </w:r>
    </w:p>
    <w:p w14:paraId="01118126">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评价概述</w:t>
      </w:r>
    </w:p>
    <w:p w14:paraId="363DA9FA">
      <w:pPr>
        <w:snapToGrid w:val="0"/>
        <w:spacing w:line="560" w:lineRule="exact"/>
        <w:ind w:firstLine="640" w:firstLineChars="200"/>
        <w:rPr>
          <w:rFonts w:ascii="仿宋_GB2312" w:hAnsi="仿宋_GB2312" w:eastAsia="仿宋_GB2312" w:cs="仿宋_GB2312"/>
          <w:iCs/>
          <w:sz w:val="32"/>
          <w:szCs w:val="32"/>
        </w:rPr>
      </w:pPr>
      <w:r>
        <w:rPr>
          <w:rFonts w:hint="eastAsia" w:ascii="仿宋_GB2312" w:hAnsi="仿宋_GB2312" w:eastAsia="仿宋_GB2312" w:cs="仿宋_GB2312"/>
          <w:iCs/>
          <w:sz w:val="32"/>
          <w:szCs w:val="32"/>
        </w:rPr>
        <w:t>参照《石油天然气开采企业安全现状评价技术规范》（SY/T 6778-2024），同时结合行业良好作业实践，对</w:t>
      </w:r>
      <w:r>
        <w:rPr>
          <w:rFonts w:hint="eastAsia" w:ascii="仿宋_GB2312" w:hAnsi="仿宋_GB2312" w:eastAsia="仿宋_GB2312" w:cs="仿宋_GB2312"/>
          <w:sz w:val="32"/>
          <w:szCs w:val="32"/>
        </w:rPr>
        <w:t>陆上石油天然气企业</w:t>
      </w:r>
      <w:r>
        <w:rPr>
          <w:rFonts w:hint="eastAsia" w:ascii="仿宋_GB2312" w:hAnsi="仿宋_GB2312" w:eastAsia="仿宋_GB2312" w:cs="仿宋_GB2312"/>
          <w:iCs/>
          <w:sz w:val="32"/>
          <w:szCs w:val="32"/>
        </w:rPr>
        <w:t>安全现状评价目的、范围、依据</w:t>
      </w:r>
      <w:bookmarkEnd w:id="263"/>
      <w:bookmarkEnd w:id="264"/>
      <w:r>
        <w:rPr>
          <w:rFonts w:hint="eastAsia" w:ascii="仿宋_GB2312" w:hAnsi="仿宋_GB2312" w:eastAsia="仿宋_GB2312" w:cs="仿宋_GB2312"/>
          <w:iCs/>
          <w:sz w:val="32"/>
          <w:szCs w:val="32"/>
        </w:rPr>
        <w:t>、程序进行了规定。</w:t>
      </w:r>
    </w:p>
    <w:p w14:paraId="0633AF19">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企业概况</w:t>
      </w:r>
    </w:p>
    <w:p w14:paraId="392EF446">
      <w:pPr>
        <w:snapToGrid w:val="0"/>
        <w:spacing w:line="560" w:lineRule="exact"/>
        <w:ind w:firstLine="640" w:firstLineChars="200"/>
        <w:rPr>
          <w:rFonts w:ascii="仿宋_GB2312" w:hAnsi="仿宋_GB2312" w:eastAsia="仿宋_GB2312" w:cs="仿宋_GB2312"/>
          <w:iCs/>
          <w:sz w:val="32"/>
          <w:szCs w:val="32"/>
        </w:rPr>
      </w:pPr>
      <w:r>
        <w:rPr>
          <w:rFonts w:hint="eastAsia" w:ascii="仿宋_GB2312" w:hAnsi="仿宋_GB2312" w:eastAsia="仿宋_GB2312" w:cs="仿宋_GB2312"/>
          <w:iCs/>
          <w:sz w:val="32"/>
          <w:szCs w:val="32"/>
        </w:rPr>
        <w:t>根据评审会专家意见，将企业概况单独成章。参照现状评价要求，从企业基本情况、自然和社会环境概况、设备设施及生产作业现状、安全管理现状、变更情况等五个方面进行了详细规定，明确了各部分包括的主要内容。</w:t>
      </w:r>
    </w:p>
    <w:p w14:paraId="7BB6695F">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评价单元划分与评价方法选择</w:t>
      </w:r>
    </w:p>
    <w:p w14:paraId="28319498">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明确了评价单元划分与评价方法选择的原则。经多轮深入研讨，并广泛征求各方意见，结合专家意见，最终确定并给出了推荐划分的评价单元以及可选用的评价方法。</w:t>
      </w:r>
    </w:p>
    <w:p w14:paraId="17A27FB6">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危险有害因素辨识与分析</w:t>
      </w:r>
    </w:p>
    <w:p w14:paraId="5EF72C7E">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本章包括危险有害物质辨识、设备设施及生产作业危险有害因素辨识与分析以及自然和社会环境危险有害因素辨识与分析。</w:t>
      </w:r>
    </w:p>
    <w:p w14:paraId="0D4BA7F7">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设备设施及生产作业单元评价</w:t>
      </w:r>
    </w:p>
    <w:p w14:paraId="0E6780FF">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参照</w:t>
      </w:r>
      <w:r>
        <w:rPr>
          <w:rFonts w:hint="eastAsia" w:ascii="仿宋_GB2312" w:hAnsi="仿宋_GB2312" w:eastAsia="仿宋_GB2312" w:cs="仿宋_GB2312"/>
          <w:iCs/>
          <w:sz w:val="32"/>
          <w:szCs w:val="32"/>
        </w:rPr>
        <w:t>《</w:t>
      </w:r>
      <w:r>
        <w:rPr>
          <w:rFonts w:hint="eastAsia" w:ascii="仿宋_GB2312" w:hAnsi="仿宋_GB2312" w:eastAsia="仿宋_GB2312" w:cs="仿宋_GB2312"/>
          <w:sz w:val="32"/>
          <w:szCs w:val="32"/>
        </w:rPr>
        <w:t>陆上石油天然气开采安全规程》（GB 42294-2022）、《石油天然气工程设计防火规范》（GB 50183-2004）、《气田集输设计规范》（GB 50349-2015）、《油田注水工程设计规范》（GB 50391-2014）、《油田采出水处理设计规范》（GB 50428-2015）、《安全评价通则》（AQ 8001-2007）、</w:t>
      </w:r>
      <w:r>
        <w:rPr>
          <w:rFonts w:hint="eastAsia" w:ascii="仿宋_GB2312" w:hAnsi="仿宋_GB2312" w:eastAsia="仿宋_GB2312" w:cs="仿宋_GB2312"/>
          <w:iCs/>
          <w:sz w:val="32"/>
          <w:szCs w:val="32"/>
        </w:rPr>
        <w:t>《石油天然气开采企业安全现状评价技术规范》（SY/T 6778-2024）</w:t>
      </w:r>
      <w:r>
        <w:rPr>
          <w:rFonts w:hint="eastAsia" w:ascii="仿宋_GB2312" w:hAnsi="仿宋_GB2312" w:eastAsia="仿宋_GB2312" w:cs="仿宋_GB2312"/>
          <w:spacing w:val="5"/>
          <w:kern w:val="0"/>
          <w:sz w:val="32"/>
          <w:szCs w:val="32"/>
        </w:rPr>
        <w:t>等标准，同时结合专家意见，对陆上采油（气）、物探、钻井、录井、测井、井下作业、油建等设备设施及生产作业单元的评价进行了规定。</w:t>
      </w:r>
    </w:p>
    <w:p w14:paraId="03127D72">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安全管理单元评价</w:t>
      </w:r>
    </w:p>
    <w:p w14:paraId="108C336D">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参照安全现状评价要求</w:t>
      </w:r>
      <w:r>
        <w:rPr>
          <w:rFonts w:hint="eastAsia" w:ascii="仿宋_GB2312" w:hAnsi="仿宋_GB2312" w:eastAsia="仿宋_GB2312" w:cs="仿宋_GB2312"/>
          <w:iCs/>
          <w:sz w:val="32"/>
          <w:szCs w:val="32"/>
        </w:rPr>
        <w:t>及专家意见，明确了陆上石油天然气企业安全管理单元的评价范围。</w:t>
      </w:r>
    </w:p>
    <w:p w14:paraId="6575501B">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安全对策措施及建议</w:t>
      </w:r>
    </w:p>
    <w:p w14:paraId="232A2DDF">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参照</w:t>
      </w:r>
      <w:r>
        <w:rPr>
          <w:rFonts w:hint="eastAsia" w:ascii="仿宋_GB2312" w:hAnsi="仿宋_GB2312" w:eastAsia="仿宋_GB2312" w:cs="仿宋_GB2312"/>
          <w:iCs/>
          <w:sz w:val="32"/>
          <w:szCs w:val="32"/>
        </w:rPr>
        <w:t>《安全评价通则》（AQ 8001-2007）</w:t>
      </w:r>
      <w:r>
        <w:rPr>
          <w:rFonts w:hint="eastAsia" w:ascii="仿宋_GB2312" w:hAnsi="仿宋_GB2312" w:eastAsia="仿宋_GB2312" w:cs="仿宋_GB2312"/>
          <w:spacing w:val="5"/>
          <w:kern w:val="0"/>
          <w:sz w:val="32"/>
          <w:szCs w:val="32"/>
        </w:rPr>
        <w:t>等标准，同时结合专家意见，明确了安全对策措施及建议的要求。</w:t>
      </w:r>
    </w:p>
    <w:p w14:paraId="2D5666AC">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评价结论</w:t>
      </w:r>
    </w:p>
    <w:p w14:paraId="154263B6">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结合行业良好作业实践，经多轮深入研讨，并广泛征求各方意见，对评价结果综述进行了规定。</w:t>
      </w:r>
    </w:p>
    <w:p w14:paraId="30C2357B">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安全现状评价报告格式要求</w:t>
      </w:r>
    </w:p>
    <w:p w14:paraId="77DAEDDD">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参照</w:t>
      </w:r>
      <w:r>
        <w:rPr>
          <w:rFonts w:hint="eastAsia" w:ascii="仿宋_GB2312" w:hAnsi="仿宋_GB2312" w:eastAsia="仿宋_GB2312" w:cs="仿宋_GB2312"/>
          <w:iCs/>
          <w:sz w:val="32"/>
          <w:szCs w:val="32"/>
        </w:rPr>
        <w:t>《安全评价通则》（AQ 8001-2007）</w:t>
      </w:r>
      <w:r>
        <w:rPr>
          <w:rFonts w:hint="eastAsia" w:ascii="仿宋_GB2312" w:hAnsi="仿宋_GB2312" w:eastAsia="仿宋_GB2312" w:cs="仿宋_GB2312"/>
          <w:spacing w:val="5"/>
          <w:kern w:val="0"/>
          <w:sz w:val="32"/>
          <w:szCs w:val="32"/>
        </w:rPr>
        <w:t>等对</w:t>
      </w:r>
      <w:r>
        <w:rPr>
          <w:rFonts w:hint="eastAsia" w:ascii="仿宋_GB2312" w:hAnsi="仿宋_GB2312" w:eastAsia="仿宋_GB2312" w:cs="仿宋_GB2312"/>
          <w:sz w:val="32"/>
          <w:szCs w:val="32"/>
        </w:rPr>
        <w:t>陆上石油天然气企业安全现状评价</w:t>
      </w:r>
      <w:r>
        <w:rPr>
          <w:rFonts w:hint="eastAsia" w:ascii="仿宋_GB2312" w:hAnsi="仿宋_GB2312" w:eastAsia="仿宋_GB2312" w:cs="仿宋_GB2312"/>
          <w:spacing w:val="5"/>
          <w:kern w:val="0"/>
          <w:sz w:val="32"/>
          <w:szCs w:val="32"/>
        </w:rPr>
        <w:t>报告格式进行了规定。</w:t>
      </w:r>
    </w:p>
    <w:p w14:paraId="5BA650CB">
      <w:pPr>
        <w:widowControl/>
        <w:numPr>
          <w:ilvl w:val="0"/>
          <w:numId w:val="66"/>
        </w:numPr>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附录</w:t>
      </w:r>
    </w:p>
    <w:bookmarkEnd w:id="265"/>
    <w:p w14:paraId="0033A8CC">
      <w:pPr>
        <w:widowControl/>
        <w:overflowPunct w:val="0"/>
        <w:snapToGrid w:val="0"/>
        <w:spacing w:line="560" w:lineRule="exact"/>
        <w:ind w:firstLine="664" w:firstLineChars="200"/>
        <w:rPr>
          <w:rFonts w:ascii="仿宋_GB2312" w:hAnsi="仿宋_GB2312" w:eastAsia="仿宋_GB2312" w:cs="仿宋_GB2312"/>
          <w:spacing w:val="6"/>
          <w:kern w:val="0"/>
          <w:sz w:val="32"/>
          <w:szCs w:val="32"/>
        </w:rPr>
      </w:pPr>
      <w:bookmarkStart w:id="266" w:name="_Toc20391"/>
      <w:bookmarkStart w:id="267" w:name="_Toc13286"/>
      <w:bookmarkStart w:id="268" w:name="_Toc2248"/>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6672" behindDoc="0" locked="0" layoutInCell="1" hidden="1" allowOverlap="1">
                <wp:simplePos x="0" y="0"/>
                <wp:positionH relativeFrom="column">
                  <wp:posOffset>2644775</wp:posOffset>
                </wp:positionH>
                <wp:positionV relativeFrom="paragraph">
                  <wp:posOffset>-192405</wp:posOffset>
                </wp:positionV>
                <wp:extent cx="0" cy="539750"/>
                <wp:effectExtent l="0" t="0" r="0" b="0"/>
                <wp:wrapNone/>
                <wp:docPr id="92" name="直接连接符 92" hidden="1"/>
                <wp:cNvGraphicFramePr/>
                <a:graphic xmlns:a="http://schemas.openxmlformats.org/drawingml/2006/main">
                  <a:graphicData uri="http://schemas.microsoft.com/office/word/2010/wordprocessingShape">
                    <wps:wsp>
                      <wps:cNvCnPr/>
                      <wps:spPr>
                        <a:xfrm>
                          <a:off x="3364865" y="103759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08.25pt;margin-top:-15.15pt;height:42.5pt;width:0pt;visibility:hidden;z-index:251676672;mso-width-relative:page;mso-height-relative:page;" filled="f" stroked="t" coordsize="21600,21600" o:gfxdata="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JrSDNcAAAAKAQAADwAAAAAAAAABACAA&#10;AAAiAAAAZHJzL2Rvd25yZXYueG1sUEsBAhQAFAAAAAgAh07iQJdkh7gOAgAA+QMAAA4AAAAAAAAA&#10;AQAgAAAAJgEAAGRycy9lMm9Eb2MueG1sUEsFBgAAAAAGAAYAWQEAAKYFA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5648" behindDoc="0" locked="0" layoutInCell="1" hidden="1" allowOverlap="1">
                <wp:simplePos x="0" y="0"/>
                <wp:positionH relativeFrom="column">
                  <wp:posOffset>-157480</wp:posOffset>
                </wp:positionH>
                <wp:positionV relativeFrom="paragraph">
                  <wp:posOffset>-200025</wp:posOffset>
                </wp:positionV>
                <wp:extent cx="3460750" cy="0"/>
                <wp:effectExtent l="0" t="0" r="0" b="0"/>
                <wp:wrapNone/>
                <wp:docPr id="91" name="直接连接符 91" hidden="1"/>
                <wp:cNvGraphicFramePr/>
                <a:graphic xmlns:a="http://schemas.openxmlformats.org/drawingml/2006/main">
                  <a:graphicData uri="http://schemas.microsoft.com/office/word/2010/wordprocessingShape">
                    <wps:wsp>
                      <wps:cNvCnPr/>
                      <wps:spPr>
                        <a:xfrm>
                          <a:off x="911860" y="1029970"/>
                          <a:ext cx="3460750"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pt;margin-top:-15.75pt;height:0pt;width:272.5pt;visibility:hidden;z-index:251675648;mso-width-relative:page;mso-height-relative:page;" filled="f" stroked="t" coordsize="21600,21600" o:gfxdata="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bGvdPYAAAACwEAAA8AAAAAAAAAAQAgAAAA&#10;IgAAAGRycy9kb3ducmV2LnhtbFBLAQIUABQAAAAIAIdO4kCHghK8CwIAAPkDAAAOAAAAAAAAAAEA&#10;IAAAACcBAABkcnMvZTJvRG9jLnhtbFBLBQYAAAAABgAGAFkBAACkBQ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4624" behindDoc="0" locked="0" layoutInCell="1" hidden="1" allowOverlap="1">
                <wp:simplePos x="0" y="0"/>
                <wp:positionH relativeFrom="column">
                  <wp:posOffset>374650</wp:posOffset>
                </wp:positionH>
                <wp:positionV relativeFrom="paragraph">
                  <wp:posOffset>-1224280</wp:posOffset>
                </wp:positionV>
                <wp:extent cx="0" cy="899795"/>
                <wp:effectExtent l="0" t="0" r="0" b="0"/>
                <wp:wrapNone/>
                <wp:docPr id="90" name="直接连接符 90" hidden="1"/>
                <wp:cNvGraphicFramePr/>
                <a:graphic xmlns:a="http://schemas.openxmlformats.org/drawingml/2006/main">
                  <a:graphicData uri="http://schemas.microsoft.com/office/word/2010/wordprocessingShape">
                    <wps:wsp>
                      <wps:cNvCnPr/>
                      <wps:spPr>
                        <a:xfrm>
                          <a:off x="109474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29.5pt;margin-top:-96.4pt;height:70.85pt;width:0pt;visibility:hidden;z-index:251674624;mso-width-relative:page;mso-height-relative:page;" filled="f" stroked="t" coordsize="21600,21600" o:gfxdata="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lRHdGNcAAAAKAQAADwAAAAAAAAABACAAAAAi&#10;AAAAZHJzL2Rvd25yZXYueG1sUEsBAhQAFAAAAAgAh07iQMBKBn4LAgAA9gMAAA4AAAAAAAAAAQAg&#10;AAAAJgEAAGRycy9lMm9Eb2MueG1sUEsFBgAAAAAGAAYAWQEAAKMFA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w:t>附录A</w:t>
      </w:r>
      <w:bookmarkEnd w:id="266"/>
      <w:bookmarkEnd w:id="267"/>
      <w:bookmarkEnd w:id="268"/>
      <w:bookmarkStart w:id="269" w:name="_Toc47195915"/>
      <w:bookmarkStart w:id="270" w:name="_Toc47195677"/>
      <w:bookmarkStart w:id="271" w:name="_Toc47195699"/>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7696" behindDoc="0" locked="0" layoutInCell="1" hidden="1" allowOverlap="1">
                <wp:simplePos x="0" y="0"/>
                <wp:positionH relativeFrom="column">
                  <wp:posOffset>1581150</wp:posOffset>
                </wp:positionH>
                <wp:positionV relativeFrom="paragraph">
                  <wp:posOffset>170815</wp:posOffset>
                </wp:positionV>
                <wp:extent cx="0" cy="179705"/>
                <wp:effectExtent l="0" t="0" r="0" b="0"/>
                <wp:wrapNone/>
                <wp:docPr id="93" name="直接连接符 93" hidden="1"/>
                <wp:cNvGraphicFramePr/>
                <a:graphic xmlns:a="http://schemas.openxmlformats.org/drawingml/2006/main">
                  <a:graphicData uri="http://schemas.microsoft.com/office/word/2010/wordprocessingShape">
                    <wps:wsp>
                      <wps:cNvCnPr/>
                      <wps:spPr>
                        <a:xfrm>
                          <a:off x="2301240" y="210947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_x0000_s1026" o:spid="_x0000_s1026" o:spt="20" style="position:absolute;left:0pt;margin-left:124.5pt;margin-top:13.45pt;height:14.15pt;width:0pt;visibility:hidden;z-index:251677696;mso-width-relative:page;mso-height-relative:page;" filled="f" stroked="t" coordsize="21600,21600" o:gfxdata="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wXnkNcAAAAJAQAADwAAAAAAAAABACAAAAAi&#10;AAAAZHJzL2Rvd25yZXYueG1sUEsBAhQAFAAAAAgAh07iQJWUfs8LAgAA+QMAAA4AAAAAAAAAAQAg&#10;AAAAJgEAAGRycy9lMm9Eb2MueG1sUEsFBgAAAAAGAAYAWQEAAKMFAAAAAA==&#10;">
                <v:fill on="f" focussize="0,0"/>
                <v:stroke color="#BD4643" joinstyle="round"/>
                <v:imagedata o:title=""/>
                <o:lock v:ext="edit" aspectratio="f"/>
              </v:line>
            </w:pict>
          </mc:Fallback>
        </mc:AlternateContent>
      </w:r>
      <w:bookmarkEnd w:id="269"/>
      <w:bookmarkEnd w:id="270"/>
      <w:bookmarkEnd w:id="271"/>
      <w:r>
        <w:rPr>
          <w:rFonts w:hint="eastAsia" w:ascii="仿宋_GB2312" w:hAnsi="仿宋_GB2312" w:eastAsia="仿宋_GB2312" w:cs="仿宋_GB2312"/>
          <w:spacing w:val="6"/>
          <w:kern w:val="0"/>
          <w:sz w:val="32"/>
          <w:szCs w:val="32"/>
        </w:rPr>
        <w:t>给出了陆上石油天然气企业安全现状评价记录清单。</w:t>
      </w:r>
    </w:p>
    <w:p w14:paraId="635006FC">
      <w:pPr>
        <w:widowControl/>
        <w:overflowPunct w:val="0"/>
        <w:snapToGrid w:val="0"/>
        <w:spacing w:line="560" w:lineRule="exact"/>
        <w:ind w:firstLine="664" w:firstLineChars="200"/>
        <w:rPr>
          <w:rFonts w:ascii="仿宋_GB2312" w:hAnsi="仿宋_GB2312" w:eastAsia="仿宋_GB2312" w:cs="仿宋_GB2312"/>
          <w:spacing w:val="6"/>
          <w:kern w:val="0"/>
          <w:sz w:val="32"/>
          <w:szCs w:val="32"/>
        </w:rPr>
      </w:pPr>
      <w:bookmarkStart w:id="272" w:name="_Toc1456"/>
      <w:bookmarkStart w:id="273" w:name="_Toc19897"/>
      <w:bookmarkStart w:id="274" w:name="_Toc21971"/>
      <w:bookmarkStart w:id="275" w:name="_Toc20716"/>
      <w:bookmarkStart w:id="276" w:name="_Toc11472"/>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80768" behindDoc="0" locked="0" layoutInCell="1" hidden="1" allowOverlap="1">
                <wp:simplePos x="0" y="0"/>
                <wp:positionH relativeFrom="column">
                  <wp:posOffset>2956560</wp:posOffset>
                </wp:positionH>
                <wp:positionV relativeFrom="paragraph">
                  <wp:posOffset>-196215</wp:posOffset>
                </wp:positionV>
                <wp:extent cx="0" cy="539750"/>
                <wp:effectExtent l="0" t="0" r="0" b="0"/>
                <wp:wrapNone/>
                <wp:docPr id="9" name="直接连接符 96" hidden="1"/>
                <wp:cNvGraphicFramePr/>
                <a:graphic xmlns:a="http://schemas.openxmlformats.org/drawingml/2006/main">
                  <a:graphicData uri="http://schemas.microsoft.com/office/word/2010/wordprocessingShape">
                    <wps:wsp>
                      <wps:cNvCnPr/>
                      <wps:spPr>
                        <a:xfrm>
                          <a:off x="4357370" y="1014730"/>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6" o:spid="_x0000_s1026" o:spt="20" style="position:absolute;left:0pt;margin-left:232.8pt;margin-top:-15.45pt;height:42.5pt;width:0pt;visibility:hidden;z-index:251680768;mso-width-relative:page;mso-height-relative:page;" filled="f" stroked="t" coordsize="21600,21600" o:gfxdata="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lInSnXAAAACgEAAA8AAAAAAAAAAQAg&#10;AAAAIgAAAGRycy9kb3ducmV2LnhtbFBLAQIUABQAAAAIAIdO4kCnWxLWDwIAAPgDAAAOAAAAAAAA&#10;AAEAIAAAACYBAABkcnMvZTJvRG9jLnhtbFBLBQYAAAAABgAGAFkBAACnBQ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9744" behindDoc="0" locked="0" layoutInCell="1" hidden="1" allowOverlap="1">
                <wp:simplePos x="0" y="0"/>
                <wp:positionH relativeFrom="column">
                  <wp:posOffset>2561590</wp:posOffset>
                </wp:positionH>
                <wp:positionV relativeFrom="paragraph">
                  <wp:posOffset>-203835</wp:posOffset>
                </wp:positionV>
                <wp:extent cx="2828925" cy="0"/>
                <wp:effectExtent l="0" t="0" r="0" b="0"/>
                <wp:wrapNone/>
                <wp:docPr id="16" name="直接连接符 95" hidden="1"/>
                <wp:cNvGraphicFramePr/>
                <a:graphic xmlns:a="http://schemas.openxmlformats.org/drawingml/2006/main">
                  <a:graphicData uri="http://schemas.microsoft.com/office/word/2010/wordprocessingShape">
                    <wps:wsp>
                      <wps:cNvCnPr/>
                      <wps:spPr>
                        <a:xfrm flipH="1">
                          <a:off x="3281045" y="1043305"/>
                          <a:ext cx="282892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5" o:spid="_x0000_s1026" o:spt="20" style="position:absolute;left:0pt;flip:x;margin-left:201.7pt;margin-top:-16.05pt;height:0pt;width:222.75pt;visibility:hidden;z-index:251679744;mso-width-relative:page;mso-height-relative:page;" filled="f" stroked="t" coordsize="21600,21600" o:gfxdata="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FxaUZ1gAAAAsBAAAPAAAA&#10;AAAAAAEAIAAAACIAAABkcnMvZG93bnJldi54bWxQSwECFAAUAAAACACHTuJAQ990NhcCAAAEBAAA&#10;DgAAAAAAAAABACAAAAAlAQAAZHJzL2Uyb0RvYy54bWxQSwUGAAAAAAYABgBZAQAArgU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78720" behindDoc="0" locked="0" layoutInCell="1" hidden="1" allowOverlap="1">
                <wp:simplePos x="0" y="0"/>
                <wp:positionH relativeFrom="column">
                  <wp:posOffset>5028565</wp:posOffset>
                </wp:positionH>
                <wp:positionV relativeFrom="paragraph">
                  <wp:posOffset>-1229995</wp:posOffset>
                </wp:positionV>
                <wp:extent cx="0" cy="899795"/>
                <wp:effectExtent l="0" t="0" r="0" b="0"/>
                <wp:wrapNone/>
                <wp:docPr id="23" name="直接连接符 94" hidden="1"/>
                <wp:cNvGraphicFramePr/>
                <a:graphic xmlns:a="http://schemas.openxmlformats.org/drawingml/2006/main">
                  <a:graphicData uri="http://schemas.microsoft.com/office/word/2010/wordprocessingShape">
                    <wps:wsp>
                      <wps:cNvCnPr/>
                      <wps:spPr>
                        <a:xfrm>
                          <a:off x="5719445" y="1460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4" o:spid="_x0000_s1026" o:spt="20" style="position:absolute;left:0pt;margin-left:395.95pt;margin-top:-96.85pt;height:70.85pt;width:0pt;visibility:hidden;z-index:251678720;mso-width-relative:page;mso-height-relative:page;" filled="f" stroked="t" coordsize="21600,21600" o:gfxdata="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NUjXNkAAAAMAQAADwAAAAAAAAAB&#10;ACAAAAAiAAAAZHJzL2Rvd25yZXYueG1sUEsBAhQAFAAAAAgAh07iQJd1PNoPAgAA9wMAAA4AAAAA&#10;AAAAAQAgAAAAKAEAAGRycy9lMm9Eb2MueG1sUEsFBgAAAAAGAAYAWQEAAKkFAAAAAA==&#10;">
                <v:fill on="f" focussize="0,0"/>
                <v:stroke color="#BD4643" joinstyle="round"/>
                <v:imagedata o:title=""/>
                <o:lock v:ext="edit" aspectratio="f"/>
              </v:line>
            </w:pict>
          </mc:Fallback>
        </mc:AlternateContent>
      </w:r>
      <w:bookmarkEnd w:id="272"/>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83840" behindDoc="0" locked="0" layoutInCell="1" hidden="1" allowOverlap="1">
                <wp:simplePos x="0" y="0"/>
                <wp:positionH relativeFrom="column">
                  <wp:posOffset>2970530</wp:posOffset>
                </wp:positionH>
                <wp:positionV relativeFrom="paragraph">
                  <wp:posOffset>-187325</wp:posOffset>
                </wp:positionV>
                <wp:extent cx="0" cy="539750"/>
                <wp:effectExtent l="0" t="0" r="0" b="0"/>
                <wp:wrapNone/>
                <wp:docPr id="24" name="直接连接符 99" hidden="1"/>
                <wp:cNvGraphicFramePr/>
                <a:graphic xmlns:a="http://schemas.openxmlformats.org/drawingml/2006/main">
                  <a:graphicData uri="http://schemas.microsoft.com/office/word/2010/wordprocessingShape">
                    <wps:wsp>
                      <wps:cNvCnPr/>
                      <wps:spPr>
                        <a:xfrm>
                          <a:off x="3690620" y="1033145"/>
                          <a:ext cx="0" cy="53975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9" o:spid="_x0000_s1026" o:spt="20" style="position:absolute;left:0pt;margin-left:233.9pt;margin-top:-14.75pt;height:42.5pt;width:0pt;visibility:hidden;z-index:251683840;mso-width-relative:page;mso-height-relative:page;" filled="f" stroked="t" coordsize="21600,21600" o:gfxdata="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zrv3dcAAAAKAQAADwAAAAAAAAAB&#10;ACAAAAAiAAAAZHJzL2Rvd25yZXYueG1sUEsBAhQAFAAAAAgAh07iQPWZeysRAgAA+QMAAA4AAAAA&#10;AAAAAQAgAAAAJgEAAGRycy9lMm9Eb2MueG1sUEsFBgAAAAAGAAYAWQEAAKkFA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82816" behindDoc="0" locked="0" layoutInCell="1" hidden="1" allowOverlap="1">
                <wp:simplePos x="0" y="0"/>
                <wp:positionH relativeFrom="column">
                  <wp:posOffset>-191770</wp:posOffset>
                </wp:positionH>
                <wp:positionV relativeFrom="paragraph">
                  <wp:posOffset>-195580</wp:posOffset>
                </wp:positionV>
                <wp:extent cx="3419475" cy="0"/>
                <wp:effectExtent l="0" t="0" r="0" b="0"/>
                <wp:wrapNone/>
                <wp:docPr id="26" name="直接连接符 98" hidden="1"/>
                <wp:cNvGraphicFramePr/>
                <a:graphic xmlns:a="http://schemas.openxmlformats.org/drawingml/2006/main">
                  <a:graphicData uri="http://schemas.microsoft.com/office/word/2010/wordprocessingShape">
                    <wps:wsp>
                      <wps:cNvCnPr/>
                      <wps:spPr>
                        <a:xfrm>
                          <a:off x="909320" y="1034415"/>
                          <a:ext cx="34194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8" o:spid="_x0000_s1026" o:spt="20" style="position:absolute;left:0pt;margin-left:-15.1pt;margin-top:-15.4pt;height:0pt;width:269.25pt;visibility:hidden;z-index:251682816;mso-width-relative:page;mso-height-relative:page;" filled="f" stroked="t" coordsize="21600,21600" o:gfxdata="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mizR3WAAAACwEAAA8AAAAAAAAAAQAg&#10;AAAAIgAAAGRycy9kb3ducmV2LnhtbFBLAQIUABQAAAAIAIdO4kALR7DGEAIAAPkDAAAOAAAAAAAA&#10;AAEAIAAAACUBAABkcnMvZTJvRG9jLnhtbFBLBQYAAAAABgAGAFkBAACnBQ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mc:AlternateContent>
          <mc:Choice Requires="wps">
            <w:drawing>
              <wp:anchor distT="0" distB="0" distL="114300" distR="114300" simplePos="0" relativeHeight="251681792" behindDoc="0" locked="0" layoutInCell="1" hidden="1" allowOverlap="1">
                <wp:simplePos x="0" y="0"/>
                <wp:positionH relativeFrom="column">
                  <wp:posOffset>36830</wp:posOffset>
                </wp:positionH>
                <wp:positionV relativeFrom="paragraph">
                  <wp:posOffset>-1233805</wp:posOffset>
                </wp:positionV>
                <wp:extent cx="0" cy="899795"/>
                <wp:effectExtent l="0" t="0" r="0" b="0"/>
                <wp:wrapNone/>
                <wp:docPr id="32" name="直接连接符 97" hidden="1"/>
                <wp:cNvGraphicFramePr/>
                <a:graphic xmlns:a="http://schemas.openxmlformats.org/drawingml/2006/main">
                  <a:graphicData uri="http://schemas.microsoft.com/office/word/2010/wordprocessingShape">
                    <wps:wsp>
                      <wps:cNvCnPr/>
                      <wps:spPr>
                        <a:xfrm>
                          <a:off x="1099820" y="5715"/>
                          <a:ext cx="0" cy="89979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97" o:spid="_x0000_s1026" o:spt="20" style="position:absolute;left:0pt;margin-left:2.9pt;margin-top:-97.15pt;height:70.85pt;width:0pt;visibility:hidden;z-index:251681792;mso-width-relative:page;mso-height-relative:page;" filled="f" stroked="t" coordsize="21600,21600" o:gfxdata="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dbm2HWAAAACAEAAA8AAAAAAAAAAQAgAAAA&#10;IgAAAGRycy9kb3ducmV2LnhtbFBLAQIUABQAAAAIAIdO4kCmi6cuDQIAAPYDAAAOAAAAAAAAAAEA&#10;IAAAACUBAABkcnMvZTJvRG9jLnhtbFBLBQYAAAAABgAGAFkBAACkBQAAAAA=&#10;">
                <v:fill on="f" focussize="0,0"/>
                <v:stroke color="#BD4643" joinstyle="round"/>
                <v:imagedata o:title=""/>
                <o:lock v:ext="edit" aspectratio="f"/>
              </v:line>
            </w:pict>
          </mc:Fallback>
        </mc:AlternateContent>
      </w:r>
      <w:r>
        <w:rPr>
          <w:rFonts w:hint="eastAsia" w:ascii="仿宋_GB2312" w:hAnsi="仿宋_GB2312" w:eastAsia="仿宋_GB2312" w:cs="仿宋_GB2312"/>
          <w:spacing w:val="6"/>
          <w:kern w:val="0"/>
          <w:sz w:val="32"/>
          <w:szCs w:val="32"/>
        </w:rPr>
        <w:t>附录B</w:t>
      </w:r>
      <w:bookmarkEnd w:id="273"/>
      <w:bookmarkEnd w:id="274"/>
      <w:bookmarkEnd w:id="275"/>
      <w:bookmarkEnd w:id="276"/>
      <w:r>
        <w:rPr>
          <w:rFonts w:hint="eastAsia" w:ascii="仿宋_GB2312" w:hAnsi="仿宋_GB2312" w:eastAsia="仿宋_GB2312" w:cs="仿宋_GB2312"/>
          <w:spacing w:val="6"/>
          <w:kern w:val="0"/>
          <w:sz w:val="32"/>
          <w:szCs w:val="32"/>
        </w:rPr>
        <w:t>给出了常用的安全现状评价方法。</w:t>
      </w:r>
    </w:p>
    <w:p w14:paraId="40557E80">
      <w:pPr>
        <w:widowControl/>
        <w:overflowPunct w:val="0"/>
        <w:snapToGrid w:val="0"/>
        <w:spacing w:line="560" w:lineRule="exact"/>
        <w:ind w:firstLine="660" w:firstLineChars="200"/>
        <w:rPr>
          <w:rFonts w:ascii="仿宋_GB2312" w:hAnsi="仿宋_GB2312" w:eastAsia="仿宋_GB2312" w:cs="仿宋_GB2312"/>
          <w:spacing w:val="5"/>
          <w:kern w:val="0"/>
          <w:sz w:val="32"/>
          <w:szCs w:val="32"/>
        </w:rPr>
      </w:pPr>
      <w:r>
        <w:rPr>
          <w:rFonts w:hint="eastAsia" w:ascii="仿宋_GB2312" w:hAnsi="仿宋_GB2312" w:eastAsia="仿宋_GB2312" w:cs="仿宋_GB2312"/>
          <w:spacing w:val="5"/>
          <w:kern w:val="0"/>
          <w:sz w:val="32"/>
          <w:szCs w:val="32"/>
        </w:rPr>
        <w:t>附录C规范了</w:t>
      </w:r>
      <w:r>
        <w:rPr>
          <w:rFonts w:hint="eastAsia" w:ascii="仿宋_GB2312" w:hAnsi="仿宋_GB2312" w:eastAsia="仿宋_GB2312" w:cs="仿宋_GB2312"/>
          <w:spacing w:val="5"/>
          <w:kern w:val="0"/>
          <w:sz w:val="32"/>
          <w:szCs w:val="32"/>
        </w:rPr>
        <mc:AlternateContent>
          <mc:Choice Requires="wps">
            <w:drawing>
              <wp:anchor distT="0" distB="0" distL="114300" distR="114300" simplePos="0" relativeHeight="251685888" behindDoc="0" locked="0" layoutInCell="1" hidden="1" allowOverlap="1">
                <wp:simplePos x="0" y="0"/>
                <wp:positionH relativeFrom="column">
                  <wp:posOffset>732155</wp:posOffset>
                </wp:positionH>
                <wp:positionV relativeFrom="paragraph">
                  <wp:posOffset>160655</wp:posOffset>
                </wp:positionV>
                <wp:extent cx="0" cy="179705"/>
                <wp:effectExtent l="0" t="0" r="0" b="0"/>
                <wp:wrapNone/>
                <wp:docPr id="33" name="直接连接符 102" hidden="1"/>
                <wp:cNvGraphicFramePr/>
                <a:graphic xmlns:a="http://schemas.openxmlformats.org/drawingml/2006/main">
                  <a:graphicData uri="http://schemas.microsoft.com/office/word/2010/wordprocessingShape">
                    <wps:wsp>
                      <wps:cNvCnPr/>
                      <wps:spPr>
                        <a:xfrm>
                          <a:off x="1452245" y="2104390"/>
                          <a:ext cx="0" cy="179705"/>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2" o:spid="_x0000_s1026" o:spt="20" style="position:absolute;left:0pt;margin-left:57.65pt;margin-top:12.65pt;height:14.15pt;width:0pt;visibility:hidden;z-index:251685888;mso-width-relative:page;mso-height-relative:page;" filled="f" stroked="t" coordsize="21600,21600" o:gfxdata="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R5mP1QAAAAkBAAAPAAAAAAAAAAEAIAAA&#10;ACIAAABkcnMvZG93bnJldi54bWxQSwECFAAUAAAACACHTuJAqf/y2g8CAAD6AwAADgAAAAAAAAAB&#10;ACAAAAAkAQAAZHJzL2Uyb0RvYy54bWxQSwUGAAAAAAYABgBZAQAApQUAAAAA&#10;">
                <v:fill on="f" focussize="0,0"/>
                <v:stroke color="#BD4643" joinstyle="round"/>
                <v:imagedata o:title=""/>
                <o:lock v:ext="edit" aspectratio="f"/>
              </v:line>
            </w:pict>
          </mc:Fallback>
        </mc:AlternateContent>
      </w:r>
      <w:r>
        <w:rPr>
          <w:rFonts w:hint="eastAsia" w:ascii="仿宋_GB2312" w:hAnsi="仿宋_GB2312" w:eastAsia="仿宋_GB2312" w:cs="仿宋_GB2312"/>
          <w:spacing w:val="5"/>
          <w:kern w:val="0"/>
          <w:sz w:val="32"/>
          <w:szCs w:val="32"/>
        </w:rPr>
        <mc:AlternateContent>
          <mc:Choice Requires="wps">
            <w:drawing>
              <wp:anchor distT="0" distB="0" distL="114300" distR="114300" simplePos="0" relativeHeight="251684864" behindDoc="0" locked="0" layoutInCell="1" hidden="1" allowOverlap="1">
                <wp:simplePos x="0" y="0"/>
                <wp:positionH relativeFrom="column">
                  <wp:posOffset>-210820</wp:posOffset>
                </wp:positionH>
                <wp:positionV relativeFrom="paragraph">
                  <wp:posOffset>160655</wp:posOffset>
                </wp:positionV>
                <wp:extent cx="3267075" cy="0"/>
                <wp:effectExtent l="0" t="0" r="0" b="0"/>
                <wp:wrapNone/>
                <wp:docPr id="34" name="直接连接符 101" hidden="1"/>
                <wp:cNvGraphicFramePr/>
                <a:graphic xmlns:a="http://schemas.openxmlformats.org/drawingml/2006/main">
                  <a:graphicData uri="http://schemas.microsoft.com/office/word/2010/wordprocessingShape">
                    <wps:wsp>
                      <wps:cNvCnPr/>
                      <wps:spPr>
                        <a:xfrm flipH="1">
                          <a:off x="509270" y="2104390"/>
                          <a:ext cx="3267075" cy="0"/>
                        </a:xfrm>
                        <a:prstGeom prst="line">
                          <a:avLst/>
                        </a:prstGeom>
                        <a:noFill/>
                        <a:ln w="9525" cap="flat" cmpd="sng" algn="ctr">
                          <a:solidFill>
                            <a:srgbClr val="BE4B48">
                              <a:shade val="95000"/>
                              <a:satMod val="105000"/>
                            </a:srgbClr>
                          </a:solidFill>
                          <a:prstDash val="solid"/>
                        </a:ln>
                        <a:effectLst/>
                      </wps:spPr>
                      <wps:bodyPr/>
                    </wps:wsp>
                  </a:graphicData>
                </a:graphic>
              </wp:anchor>
            </w:drawing>
          </mc:Choice>
          <mc:Fallback>
            <w:pict>
              <v:line id="直接连接符 101" o:spid="_x0000_s1026" o:spt="20" style="position:absolute;left:0pt;flip:x;margin-left:-16.6pt;margin-top:12.65pt;height:0pt;width:257.25pt;visibility:hidden;z-index:251684864;mso-width-relative:page;mso-height-relative:page;" filled="f" stroked="t" coordsize="21600,21600" o:gfxdata="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9108/UAAAACQEAAA8AAAAA&#10;AAAAAQAgAAAAIgAAAGRycy9kb3ducmV2LnhtbFBLAQIUABQAAAAIAIdO4kDk3N92GAIAAAQEAAAO&#10;AAAAAAAAAAEAIAAAACMBAABkcnMvZTJvRG9jLnhtbFBLBQYAAAAABgAGAFkBAACtBQAAAAA=&#10;">
                <v:fill on="f" focussize="0,0"/>
                <v:stroke color="#BD4643" joinstyle="round"/>
                <v:imagedata o:title=""/>
                <o:lock v:ext="edit" aspectratio="f"/>
              </v:line>
            </w:pict>
          </mc:Fallback>
        </mc:AlternateContent>
      </w:r>
      <w:r>
        <w:rPr>
          <w:rFonts w:hint="eastAsia" w:ascii="仿宋_GB2312" w:hAnsi="仿宋_GB2312" w:eastAsia="仿宋_GB2312" w:cs="仿宋_GB2312"/>
          <w:sz w:val="32"/>
          <w:szCs w:val="32"/>
        </w:rPr>
        <w:t>陆上石油天然气企业安全现状评价</w:t>
      </w:r>
      <w:r>
        <w:rPr>
          <w:rFonts w:hint="eastAsia" w:ascii="仿宋_GB2312" w:hAnsi="仿宋_GB2312" w:eastAsia="仿宋_GB2312" w:cs="仿宋_GB2312"/>
          <w:spacing w:val="5"/>
          <w:kern w:val="0"/>
          <w:sz w:val="32"/>
          <w:szCs w:val="32"/>
        </w:rPr>
        <w:t>报告的结构、格式、纸张、排版及封装的要求。</w:t>
      </w:r>
    </w:p>
    <w:p w14:paraId="0021A77F">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（三）标准修订变化及依据（仅修订标准需要列出）</w:t>
      </w:r>
    </w:p>
    <w:p w14:paraId="402007A2">
      <w:pPr>
        <w:spacing w:line="560" w:lineRule="exact"/>
        <w:ind w:firstLine="640" w:firstLineChars="200"/>
        <w:rPr>
          <w:rFonts w:ascii="宋体" w:hAnsi="宋体" w:eastAsia="仿宋_GB2312"/>
          <w:iCs/>
          <w:sz w:val="32"/>
          <w:szCs w:val="32"/>
        </w:rPr>
      </w:pPr>
      <w:r>
        <w:rPr>
          <w:rFonts w:hint="eastAsia" w:ascii="宋体" w:hAnsi="宋体" w:eastAsia="仿宋_GB2312"/>
          <w:iCs/>
          <w:sz w:val="32"/>
          <w:szCs w:val="32"/>
        </w:rPr>
        <w:t>无。</w:t>
      </w:r>
    </w:p>
    <w:p w14:paraId="52A378C2">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三、试验验证的分析、综述报告、技术经济论证，现状期的经济效益、社会效益和生态效益。</w:t>
      </w:r>
    </w:p>
    <w:p w14:paraId="58F5CDC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文件是根据陆上石油天然气企业安全评价技术发展和需要制定的，能为目前陆上石油天然气企业安全现状评价提供有效的技术指导。本标准意在规范陆上石油天然气企业安全现状评价内容和报告编制的要求，提高陆上石油天然气企业安全现状评价的质量，对陆上石油天然气企业的本质安全起到重要的作用，为陆上石油天然气企业提供技术支撑，对保证国家能源安全具有重要的意义。</w:t>
      </w:r>
    </w:p>
    <w:p w14:paraId="2F90E993">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四、与国际、国外同类标准技术内容的对比情况</w:t>
      </w:r>
    </w:p>
    <w:p w14:paraId="2C1BD96B">
      <w:pPr>
        <w:spacing w:line="560" w:lineRule="exact"/>
        <w:ind w:firstLine="640" w:firstLineChars="200"/>
        <w:rPr>
          <w:rFonts w:ascii="仿宋_GB2312" w:hAnsi="Times New Roman" w:eastAsia="仿宋_GB2312"/>
          <w:sz w:val="32"/>
          <w:szCs w:val="32"/>
          <w:shd w:val="clear" w:color="auto" w:fill="FFFFFF"/>
        </w:rPr>
      </w:pPr>
      <w:r>
        <w:rPr>
          <w:rFonts w:hint="eastAsia" w:ascii="仿宋_GB2312" w:hAnsi="Times New Roman" w:eastAsia="仿宋_GB2312"/>
          <w:sz w:val="32"/>
          <w:szCs w:val="32"/>
          <w:shd w:val="clear" w:color="auto" w:fill="FFFFFF"/>
        </w:rPr>
        <w:t>无。</w:t>
      </w:r>
    </w:p>
    <w:p w14:paraId="63C35765">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五、以国际标准为基础的起草情况、是否合规引用或采用国际国外标准以及未采用国际标准的原因</w:t>
      </w:r>
    </w:p>
    <w:p w14:paraId="449BCB80">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本文件是为规范国内陆上石油天然气企业的安全现状评价活动，而做出的相关技术要求。国外目前还没有此方面相关的法律法规和标准。</w:t>
      </w:r>
    </w:p>
    <w:p w14:paraId="78A1F15E">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六、与有关法律、行政法规及相关标准水平的关系</w:t>
      </w:r>
    </w:p>
    <w:p w14:paraId="08164F63">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（一）与有关法律、行政法规、标准关系</w:t>
      </w:r>
    </w:p>
    <w:p w14:paraId="5894AD4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本标准的编制工作根据应急管理部《“十四五”应急管理标准化发展计划》《应急管理标准化工作管理办法》等文件精神开展，在全国安全生产标准化技术委员会石油天然气开采安全分技术委员会（TC 288/SC 10）的工作指导下进行，符合《中华人民共和国安全生产法》《中华人民共和国标准化法》等相关法律要求。</w:t>
      </w:r>
    </w:p>
    <w:p w14:paraId="3484F19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本标准依据《标准化工作导则 第1部分：标准化文件的结构和起草规则》（GB/T 1.1-2020）的规定起草。</w:t>
      </w:r>
    </w:p>
    <w:p w14:paraId="7C46417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标准是遵循《中华人民共和国安全生产法》和《建设项目安全设施“三同时”监督管理办法》等相关要求制定的技术文件，标准内容是对法律法规的进一步落实和细化，是具体指导陆上石油天然气企业安全现状评价工作的重要支撑。</w:t>
      </w:r>
    </w:p>
    <w:p w14:paraId="5B138591">
      <w:pPr>
        <w:spacing w:line="560" w:lineRule="exact"/>
        <w:ind w:firstLine="640" w:firstLineChars="200"/>
        <w:rPr>
          <w:rFonts w:ascii="楷体" w:hAnsi="楷体" w:eastAsia="楷体"/>
          <w:sz w:val="32"/>
          <w:szCs w:val="32"/>
          <w:shd w:val="clear" w:color="auto" w:fill="FFFFFF"/>
        </w:rPr>
      </w:pPr>
      <w:r>
        <w:rPr>
          <w:rFonts w:hint="eastAsia" w:ascii="楷体" w:hAnsi="楷体" w:eastAsia="楷体"/>
          <w:sz w:val="32"/>
          <w:szCs w:val="32"/>
          <w:shd w:val="clear" w:color="auto" w:fill="FFFFFF"/>
        </w:rPr>
        <w:t>（二）配套推荐性标准的制定情况（强制性标准应填写）</w:t>
      </w:r>
    </w:p>
    <w:p w14:paraId="5FDB4B1E">
      <w:pPr>
        <w:spacing w:line="560" w:lineRule="exact"/>
        <w:ind w:firstLine="620" w:firstLineChars="200"/>
        <w:rPr>
          <w:rFonts w:ascii="宋体" w:hAnsi="宋体" w:eastAsia="仿宋_GB2312" w:cs="仿宋_GB2312"/>
          <w:spacing w:val="-5"/>
          <w:kern w:val="0"/>
          <w:sz w:val="32"/>
          <w:szCs w:val="32"/>
        </w:rPr>
      </w:pPr>
      <w:r>
        <w:rPr>
          <w:rFonts w:hint="eastAsia" w:ascii="宋体" w:hAnsi="宋体" w:eastAsia="仿宋_GB2312" w:cs="仿宋_GB2312"/>
          <w:spacing w:val="-5"/>
          <w:kern w:val="0"/>
          <w:sz w:val="32"/>
          <w:szCs w:val="32"/>
        </w:rPr>
        <w:t>无。</w:t>
      </w:r>
    </w:p>
    <w:p w14:paraId="261DBD76">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七、重大分歧意见的处理过程及依据</w:t>
      </w:r>
    </w:p>
    <w:p w14:paraId="44DBCEAA">
      <w:pPr>
        <w:spacing w:line="560" w:lineRule="exact"/>
        <w:ind w:firstLine="620" w:firstLineChars="200"/>
      </w:pPr>
      <w:r>
        <w:rPr>
          <w:rFonts w:hint="eastAsia" w:ascii="宋体" w:hAnsi="宋体" w:eastAsia="仿宋_GB2312" w:cs="仿宋_GB2312"/>
          <w:spacing w:val="-5"/>
          <w:kern w:val="0"/>
          <w:sz w:val="32"/>
          <w:szCs w:val="32"/>
        </w:rPr>
        <w:t>无。</w:t>
      </w:r>
    </w:p>
    <w:p w14:paraId="6F113BD0">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八、作为强制性标准或推荐性标准的建议及理由</w:t>
      </w:r>
    </w:p>
    <w:p w14:paraId="2C5E68D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议本文件为强制性标准。陆上石油天然气开采设施作为国家能源重要基础设施，其安全性和稳定性直接关系到国家能源安全和人民生命财产安全。从法规层面来看，我国对于陆上石油天然气开采安全监管的重视程度日益提升，相关法律法规不断完善，将安全现状评价导则确定为强制标准，有助于更好地与现有法规体系相衔接，提升整个陆上石油天然气开采行业的安全监管水平。从行业发展和市场需求的角度来看，强制标准有助于规范行业行为，提升行业整体的安全水平，推动行业健康、可持续发展。</w:t>
      </w:r>
    </w:p>
    <w:p w14:paraId="3DE317E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此外，依据《中华人民共和国标准化法》（2017年修订）第十条“对保障人身健康和生命财产安全，满足社会经济管理基本需要的技术要求，应当制定强制性的国家标准”和《应急管理标准化工作管理办法》第二十条“对于依法需要强制实施的应急管理标准，应当制定强制性标准”的规定，本文件是陆上石油天然气企业安全现状评价内容和报告编制的一般要求，应作为强制性标准实施，使其成为政府规章制度的技术支撑，从而便于陆上石油天然气企业的监督管理。</w:t>
      </w:r>
    </w:p>
    <w:p w14:paraId="6A4524FE">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九、标准自发布日期至实施日期的过渡期建议及理由</w:t>
      </w:r>
    </w:p>
    <w:p w14:paraId="5EF7D7E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建议本文件从批准发布到正式实施设置6个月的过渡期，具体以公告规定的实施日期为准。</w:t>
      </w:r>
    </w:p>
    <w:p w14:paraId="3E19BF1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理由如下：本文件对陆上石油天然气企业的安全现状评价内容和报告编制都提出了规定，对规范行业准则起到了关键作用。本文件发布后，需要对陆上石油安全评价机构、企业以及监督管理部门等进行宣贯和培训，保证相关单位了解本文件要求，并贯彻执行。本文件发布后，各陆上石油安全评价机构需按照本文件要求开展陆上石油天然气企业安全现状评价，设置6个月的过渡期，各评价机构可逐步调整，完善安全现状评价的程序、内容及报告编制工作等。</w:t>
      </w:r>
    </w:p>
    <w:p w14:paraId="1324E0A5">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十、与实施标准有关的政策措施</w:t>
      </w:r>
    </w:p>
    <w:p w14:paraId="34CBC10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通过标准的宣贯促进标准的有效实施，通过应急管理部官网、技术交流与培训等渠道向相关单位和机构进行宣贯，使他们掌握并贯彻执行本文件的相关规定。</w:t>
      </w:r>
    </w:p>
    <w:p w14:paraId="24832CE7">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十一、是否需要对外通报的建议及理由</w:t>
      </w:r>
    </w:p>
    <w:p w14:paraId="70B00FD2">
      <w:pPr>
        <w:spacing w:line="560" w:lineRule="exact"/>
        <w:ind w:firstLine="640" w:firstLineChars="200"/>
        <w:rPr>
          <w:rFonts w:ascii="宋体" w:hAnsi="宋体" w:eastAsia="仿宋_GB2312"/>
          <w:sz w:val="32"/>
          <w:szCs w:val="32"/>
          <w:shd w:val="clear" w:color="auto" w:fill="FFFFFF"/>
        </w:rPr>
      </w:pPr>
      <w:r>
        <w:rPr>
          <w:rFonts w:hint="eastAsia" w:ascii="仿宋_GB2312" w:hAnsi="仿宋_GB2312" w:eastAsia="仿宋_GB2312" w:cs="仿宋_GB2312"/>
          <w:sz w:val="32"/>
          <w:szCs w:val="32"/>
        </w:rPr>
        <w:t>本文件不需要对外通报。</w:t>
      </w:r>
    </w:p>
    <w:p w14:paraId="1DB26D63">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十二、废止现行有关标准的建议</w:t>
      </w:r>
    </w:p>
    <w:p w14:paraId="51962546">
      <w:pPr>
        <w:adjustRightInd/>
        <w:spacing w:line="560" w:lineRule="exact"/>
        <w:ind w:firstLine="640" w:firstLineChars="200"/>
        <w:rPr>
          <w:rFonts w:ascii="宋体" w:hAnsi="宋体" w:eastAsia="仿宋_GB2312"/>
          <w:i/>
          <w:iCs/>
          <w:sz w:val="32"/>
          <w:szCs w:val="32"/>
        </w:rPr>
      </w:pPr>
      <w:r>
        <w:rPr>
          <w:rFonts w:hint="eastAsia" w:ascii="宋体" w:hAnsi="宋体" w:eastAsia="仿宋_GB2312"/>
          <w:sz w:val="32"/>
          <w:szCs w:val="32"/>
        </w:rPr>
        <w:t>无。</w:t>
      </w:r>
    </w:p>
    <w:p w14:paraId="4F84C1F2">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十三、涉及专利的有关说明</w:t>
      </w:r>
    </w:p>
    <w:p w14:paraId="1372762A">
      <w:pPr>
        <w:adjustRightInd/>
        <w:spacing w:line="560" w:lineRule="exact"/>
        <w:ind w:firstLine="640" w:firstLineChars="200"/>
        <w:rPr>
          <w:rFonts w:ascii="宋体" w:hAnsi="宋体" w:eastAsia="仿宋_GB2312"/>
          <w:i/>
          <w:sz w:val="32"/>
          <w:szCs w:val="32"/>
        </w:rPr>
      </w:pPr>
      <w:r>
        <w:rPr>
          <w:rFonts w:hint="eastAsia" w:ascii="宋体" w:hAnsi="宋体" w:eastAsia="仿宋_GB2312"/>
          <w:sz w:val="32"/>
          <w:szCs w:val="32"/>
        </w:rPr>
        <w:t>本文件不涉及专利的内容。</w:t>
      </w:r>
    </w:p>
    <w:p w14:paraId="2D122EBB">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十四、标准所涉及的产品、过程或者服务目录</w:t>
      </w:r>
    </w:p>
    <w:p w14:paraId="08398F2B">
      <w:pPr>
        <w:spacing w:line="560" w:lineRule="exact"/>
        <w:ind w:firstLine="640" w:firstLineChars="200"/>
        <w:rPr>
          <w:rFonts w:ascii="宋体" w:hAnsi="宋体" w:eastAsia="仿宋_GB2312"/>
          <w:sz w:val="32"/>
          <w:szCs w:val="32"/>
          <w:shd w:val="clear" w:color="auto" w:fill="FFFFFF"/>
        </w:rPr>
      </w:pPr>
      <w:r>
        <w:rPr>
          <w:rFonts w:hint="eastAsia" w:ascii="仿宋_GB2312" w:hAnsi="仿宋_GB2312" w:eastAsia="仿宋_GB2312" w:cs="仿宋_GB2312"/>
          <w:sz w:val="32"/>
          <w:szCs w:val="32"/>
        </w:rPr>
        <w:t>标准所涉及的产品、过程或者服务目录主要有：陆上石油天然气企业安全现状评价报告的编制内容，包括危险有害因素辨识结果，单元安全评价结果，评价方法的运用过程，安全评价过程等。</w:t>
      </w:r>
    </w:p>
    <w:p w14:paraId="4F82721D">
      <w:pPr>
        <w:widowControl/>
        <w:spacing w:line="560" w:lineRule="exact"/>
        <w:ind w:firstLine="640" w:firstLineChars="200"/>
        <w:outlineLvl w:val="0"/>
        <w:rPr>
          <w:rFonts w:ascii="黑体" w:hAnsi="黑体" w:eastAsia="黑体"/>
          <w:sz w:val="32"/>
          <w:szCs w:val="32"/>
        </w:rPr>
      </w:pPr>
      <w:r>
        <w:rPr>
          <w:rFonts w:hint="eastAsia" w:ascii="黑体" w:hAnsi="黑体" w:eastAsia="黑体"/>
          <w:sz w:val="32"/>
          <w:szCs w:val="32"/>
        </w:rPr>
        <w:t>十五、其他应予以说明的事项</w:t>
      </w:r>
    </w:p>
    <w:p w14:paraId="23FD7EB0">
      <w:pPr>
        <w:spacing w:line="560" w:lineRule="exact"/>
        <w:ind w:firstLine="640" w:firstLineChars="200"/>
      </w:pPr>
      <w:r>
        <w:rPr>
          <w:rFonts w:hint="eastAsia" w:ascii="仿宋_GB2312" w:hAnsi="仿宋_GB2312" w:eastAsia="仿宋_GB2312" w:cs="仿宋_GB2312"/>
          <w:sz w:val="32"/>
          <w:szCs w:val="32"/>
        </w:rPr>
        <w:t>无。</w:t>
      </w:r>
    </w:p>
    <w:p w14:paraId="5BE91789">
      <w:pPr>
        <w:pStyle w:val="57"/>
        <w:ind w:firstLine="420"/>
      </w:pPr>
    </w:p>
    <w:sectPr>
      <w:headerReference r:id="rId22" w:type="default"/>
      <w:footerReference r:id="rId24" w:type="default"/>
      <w:headerReference r:id="rId23" w:type="even"/>
      <w:footerReference r:id="rId25" w:type="even"/>
      <w:pgSz w:w="11906" w:h="16838"/>
      <w:pgMar w:top="1701" w:right="1474" w:bottom="1474" w:left="1587" w:header="1418" w:footer="1134" w:gutter="283"/>
      <w:cols w:space="0"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Light">
    <w:altName w:val="原版宋体"/>
    <w:panose1 w:val="02010600030101010101"/>
    <w:charset w:val="86"/>
    <w:family w:val="auto"/>
    <w:pitch w:val="default"/>
    <w:sig w:usb0="00000000" w:usb1="00000000" w:usb2="00000016" w:usb3="00000000" w:csb0="0004000F" w:csb1="00000000"/>
  </w:font>
  <w:font w:name="MS Gothic">
    <w:altName w:val="宋体"/>
    <w:panose1 w:val="020B0609070205080204"/>
    <w:charset w:val="80"/>
    <w:family w:val="modern"/>
    <w:pitch w:val="default"/>
    <w:sig w:usb0="00000000" w:usb1="00000000" w:usb2="08000012" w:usb3="00000000" w:csb0="0002009F"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华文宋体">
    <w:altName w:val="宋体"/>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 w:name="汉仪中秀体简">
    <w:altName w:val="宋体"/>
    <w:panose1 w:val="00000000000000000000"/>
    <w:charset w:val="86"/>
    <w:family w:val="auto"/>
    <w:pitch w:val="default"/>
    <w:sig w:usb0="00000000" w:usb1="00000000" w:usb2="00000016" w:usb3="00000000" w:csb0="0004009F" w:csb1="00000000"/>
  </w:font>
  <w:font w:name="思源宋体">
    <w:panose1 w:val="02020400000000000000"/>
    <w:charset w:val="86"/>
    <w:family w:val="auto"/>
    <w:pitch w:val="default"/>
    <w:sig w:usb0="30000083" w:usb1="2BDF3C10" w:usb2="00000016" w:usb3="00000000" w:csb0="602E0107" w:csb1="00000000"/>
  </w:font>
  <w:font w:name="方正兰亭纤黑">
    <w:panose1 w:val="02000000000000000000"/>
    <w:charset w:val="86"/>
    <w:family w:val="auto"/>
    <w:pitch w:val="default"/>
    <w:sig w:usb0="E40003FF" w:usb1="78FFFFFF" w:usb2="00000037" w:usb3="00000000" w:csb0="6016019F" w:csb1="DFF70000"/>
  </w:font>
  <w:font w:name="方正仿宋_GBK">
    <w:panose1 w:val="02000000000000000000"/>
    <w:charset w:val="86"/>
    <w:family w:val="auto"/>
    <w:pitch w:val="default"/>
    <w:sig w:usb0="00000001" w:usb1="08000000" w:usb2="00000000" w:usb3="00000000" w:csb0="00040000" w:csb1="00000000"/>
  </w:font>
  <w:font w:name="等线 Light">
    <w:altName w:val="仿宋"/>
    <w:panose1 w:val="00000000000000000000"/>
    <w:charset w:val="00"/>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A0461">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0BAD9">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E7C0">
    <w:pPr>
      <w:pStyle w:val="53"/>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83FDC">
                          <w:pPr>
                            <w:pStyle w:val="18"/>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A583FDC">
                    <w:pPr>
                      <w:pStyle w:val="18"/>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AE173">
    <w:pPr>
      <w:pStyle w:val="53"/>
    </w:pP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40EA64">
                          <w:pPr>
                            <w:pStyle w:val="18"/>
                          </w:pPr>
                          <w:r>
                            <w:fldChar w:fldCharType="begin"/>
                          </w:r>
                          <w:r>
                            <w:instrText xml:space="preserve"> PAGE  \* MERGEFORMAT </w:instrText>
                          </w:r>
                          <w:r>
                            <w:fldChar w:fldCharType="separate"/>
                          </w:r>
                          <w:r>
                            <w:t>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6F40EA64">
                    <w:pPr>
                      <w:pStyle w:val="18"/>
                    </w:pPr>
                    <w:r>
                      <w:fldChar w:fldCharType="begin"/>
                    </w:r>
                    <w:r>
                      <w:instrText xml:space="preserve"> PAGE  \* MERGEFORMAT </w:instrText>
                    </w:r>
                    <w:r>
                      <w:fldChar w:fldCharType="separate"/>
                    </w:r>
                    <w:r>
                      <w:t>III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C5791">
    <w:pPr>
      <w:pStyle w:val="52"/>
    </w:pPr>
    <w:r>
      <w:fldChar w:fldCharType="begin"/>
    </w:r>
    <w:r>
      <w:instrText xml:space="preserve"> PAGE   \* MERGEFORMAT \* MERGEFORMAT </w:instrText>
    </w:r>
    <w:r>
      <w:fldChar w:fldCharType="separate"/>
    </w:r>
    <w: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7BD0D">
    <w:pPr>
      <w:pStyle w:val="53"/>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109D5C">
                          <w:pPr>
                            <w:pStyle w:val="18"/>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B109D5C">
                    <w:pPr>
                      <w:pStyle w:val="18"/>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D268B">
    <w:pPr>
      <w:pStyle w:val="53"/>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9F8615">
                          <w:pPr>
                            <w:pStyle w:val="1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0C9F8615">
                    <w:pPr>
                      <w:pStyle w:val="1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5364">
    <w:pPr>
      <w:pStyle w:val="52"/>
    </w:pPr>
    <w: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9D3BF">
                          <w:pPr>
                            <w:pStyle w:val="52"/>
                          </w:pPr>
                          <w:r>
                            <w:fldChar w:fldCharType="begin"/>
                          </w:r>
                          <w:r>
                            <w:instrText xml:space="preserve"> PAGE   \* MERGEFORMAT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6E9D3BF">
                    <w:pPr>
                      <w:pStyle w:val="52"/>
                    </w:pPr>
                    <w:r>
                      <w:fldChar w:fldCharType="begin"/>
                    </w:r>
                    <w:r>
                      <w:instrText xml:space="preserve"> PAGE   \* MERGEFORMAT \* MERGEFORMAT </w:instrText>
                    </w:r>
                    <w:r>
                      <w:fldChar w:fldCharType="separate"/>
                    </w:r>
                    <w:r>
                      <w:t>14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023E2">
    <w:pPr>
      <w:pStyle w:val="18"/>
    </w:pPr>
    <w:r>
      <mc:AlternateContent>
        <mc:Choice Requires="wps">
          <w:drawing>
            <wp:anchor distT="0" distB="0" distL="114300" distR="114300" simplePos="0" relativeHeight="251683840" behindDoc="0" locked="0" layoutInCell="1" allowOverlap="1">
              <wp:simplePos x="0" y="0"/>
              <wp:positionH relativeFrom="margin">
                <wp:align>outside</wp:align>
              </wp:positionH>
              <wp:positionV relativeFrom="paragraph">
                <wp:posOffset>0</wp:posOffset>
              </wp:positionV>
              <wp:extent cx="493395" cy="136525"/>
              <wp:effectExtent l="0" t="0" r="0" b="0"/>
              <wp:wrapNone/>
              <wp:docPr id="25" name="文本框 15"/>
              <wp:cNvGraphicFramePr/>
              <a:graphic xmlns:a="http://schemas.openxmlformats.org/drawingml/2006/main">
                <a:graphicData uri="http://schemas.microsoft.com/office/word/2010/wordprocessingShape">
                  <wps:wsp>
                    <wps:cNvSpPr txBox="1"/>
                    <wps:spPr>
                      <a:xfrm>
                        <a:off x="0" y="0"/>
                        <a:ext cx="493395" cy="136525"/>
                      </a:xfrm>
                      <a:prstGeom prst="rect">
                        <a:avLst/>
                      </a:prstGeom>
                      <a:noFill/>
                      <a:ln>
                        <a:noFill/>
                      </a:ln>
                    </wps:spPr>
                    <wps:txbx>
                      <w:txbxContent>
                        <w:p w14:paraId="49818446">
                          <w:pPr>
                            <w:pStyle w:val="18"/>
                            <w:jc w:val="center"/>
                            <w:rPr>
                              <w:rFonts w:hAnsi="宋体" w:cs="宋体"/>
                            </w:rPr>
                          </w:pPr>
                          <w:r>
                            <w:rPr>
                              <w:rFonts w:hint="eastAsia" w:hAnsi="宋体" w:cs="宋体"/>
                            </w:rPr>
                            <w:fldChar w:fldCharType="begin"/>
                          </w:r>
                          <w:r>
                            <w:rPr>
                              <w:rFonts w:hint="eastAsia" w:hAnsi="宋体" w:cs="宋体"/>
                            </w:rPr>
                            <w:instrText xml:space="preserve"> PAGE  \* MERGEFORMAT </w:instrText>
                          </w:r>
                          <w:r>
                            <w:rPr>
                              <w:rFonts w:hint="eastAsia" w:hAnsi="宋体" w:cs="宋体"/>
                            </w:rPr>
                            <w:fldChar w:fldCharType="separate"/>
                          </w:r>
                          <w:r>
                            <w:rPr>
                              <w:rFonts w:hAnsi="宋体" w:cs="宋体"/>
                            </w:rPr>
                            <w:t>6</w:t>
                          </w:r>
                          <w:r>
                            <w:rPr>
                              <w:rFonts w:hint="eastAsia" w:hAnsi="宋体" w:cs="宋体"/>
                            </w:rPr>
                            <w:fldChar w:fldCharType="end"/>
                          </w:r>
                        </w:p>
                      </w:txbxContent>
                    </wps:txbx>
                    <wps:bodyPr lIns="0" tIns="0" rIns="0" bIns="0" upright="1"/>
                  </wps:wsp>
                </a:graphicData>
              </a:graphic>
            </wp:anchor>
          </w:drawing>
        </mc:Choice>
        <mc:Fallback>
          <w:pict>
            <v:shape id="文本框 15" o:spid="_x0000_s1026" o:spt="202" type="#_x0000_t202" style="position:absolute;left:0pt;margin-top:0pt;height:10.75pt;width:38.85pt;mso-position-horizontal:outside;mso-position-horizontal-relative:margin;z-index:251683840;mso-width-relative:page;mso-height-relative:page;" filled="f" stroked="f" coordsize="21600,21600" o:gfxdata="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7JIGt1AAAAAMBAAAPAAAAAAAAAAEAIAAAACIAAABkcnMvZG93bnJldi54bWxQSwECFAAU&#10;AAAACACHTuJAxkSym7wBAABzAwAADgAAAAAAAAABACAAAAAjAQAAZHJzL2Uyb0RvYy54bWxQSwUG&#10;AAAAAAYABgBZAQAAUQUAAAAA&#10;">
              <v:fill on="f" focussize="0,0"/>
              <v:stroke on="f"/>
              <v:imagedata o:title=""/>
              <o:lock v:ext="edit" aspectratio="f"/>
              <v:textbox inset="0mm,0mm,0mm,0mm">
                <w:txbxContent>
                  <w:p w14:paraId="49818446">
                    <w:pPr>
                      <w:pStyle w:val="18"/>
                      <w:jc w:val="center"/>
                      <w:rPr>
                        <w:rFonts w:hAnsi="宋体" w:cs="宋体"/>
                      </w:rPr>
                    </w:pPr>
                    <w:r>
                      <w:rPr>
                        <w:rFonts w:hint="eastAsia" w:hAnsi="宋体" w:cs="宋体"/>
                      </w:rPr>
                      <w:fldChar w:fldCharType="begin"/>
                    </w:r>
                    <w:r>
                      <w:rPr>
                        <w:rFonts w:hint="eastAsia" w:hAnsi="宋体" w:cs="宋体"/>
                      </w:rPr>
                      <w:instrText xml:space="preserve"> PAGE  \* MERGEFORMAT </w:instrText>
                    </w:r>
                    <w:r>
                      <w:rPr>
                        <w:rFonts w:hint="eastAsia" w:hAnsi="宋体" w:cs="宋体"/>
                      </w:rPr>
                      <w:fldChar w:fldCharType="separate"/>
                    </w:r>
                    <w:r>
                      <w:rPr>
                        <w:rFonts w:hAnsi="宋体" w:cs="宋体"/>
                      </w:rPr>
                      <w:t>6</w:t>
                    </w:r>
                    <w:r>
                      <w:rPr>
                        <w:rFonts w:hint="eastAsia" w:hAnsi="宋体" w:cs="宋体"/>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8B6DF">
    <w:pPr>
      <w:pStyle w:val="18"/>
    </w:pPr>
    <w: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EC66F8">
                          <w:pPr>
                            <w:pStyle w:val="18"/>
                          </w:pPr>
                          <w:r>
                            <w:fldChar w:fldCharType="begin"/>
                          </w:r>
                          <w:r>
                            <w:instrText xml:space="preserve"> PAGE  \* MERGEFORMAT </w:instrText>
                          </w:r>
                          <w:r>
                            <w:fldChar w:fldCharType="separate"/>
                          </w:r>
                          <w:r>
                            <w:t>22</w:t>
                          </w:r>
                          <w:r>
                            <w:fldChar w:fldCharType="end"/>
                          </w:r>
                        </w:p>
                      </w:txbxContent>
                    </wps:txbx>
                    <wps:bodyPr wrap="none" lIns="0" tIns="0" rIns="0" bIns="0">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fvtpYwwEAAI8DAAAOAAAAAAAAAAEAIAAAAB4BAABkcnMvZTJvRG9jLnhtbFBL&#10;BQYAAAAABgAGAFkBAABTBQAAAAA=&#10;">
              <v:fill on="f" focussize="0,0"/>
              <v:stroke on="f"/>
              <v:imagedata o:title=""/>
              <o:lock v:ext="edit" aspectratio="f"/>
              <v:textbox inset="0mm,0mm,0mm,0mm" style="mso-fit-shape-to-text:t;">
                <w:txbxContent>
                  <w:p w14:paraId="4CEC66F8">
                    <w:pPr>
                      <w:pStyle w:val="18"/>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95D30">
    <w:pPr>
      <w:pStyle w:val="18"/>
    </w:pPr>
    <w:r>
      <mc:AlternateContent>
        <mc:Choice Requires="wps">
          <w:drawing>
            <wp:anchor distT="0" distB="0" distL="114300" distR="114300" simplePos="0" relativeHeight="2516807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ED479B">
                          <w:pPr>
                            <w:pStyle w:val="18"/>
                          </w:pPr>
                          <w:r>
                            <w:fldChar w:fldCharType="begin"/>
                          </w:r>
                          <w:r>
                            <w:instrText xml:space="preserve"> PAGE  \* MERGEFORMAT </w:instrText>
                          </w:r>
                          <w:r>
                            <w:fldChar w:fldCharType="separate"/>
                          </w:r>
                          <w:r>
                            <w:t>I</w:t>
                          </w:r>
                          <w:r>
                            <w:fldChar w:fldCharType="end"/>
                          </w:r>
                        </w:p>
                      </w:txbxContent>
                    </wps:txbx>
                    <wps:bodyPr wrap="none" lIns="0" tIns="0" rIns="0" bIns="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2bF89wwEAAI8DAAAOAAAAAAAAAAEAIAAAAB4BAABkcnMvZTJvRG9jLnhtbFBL&#10;BQYAAAAABgAGAFkBAABTBQAAAAA=&#10;">
              <v:fill on="f" focussize="0,0"/>
              <v:stroke on="f"/>
              <v:imagedata o:title=""/>
              <o:lock v:ext="edit" aspectratio="f"/>
              <v:textbox inset="0mm,0mm,0mm,0mm" style="mso-fit-shape-to-text:t;">
                <w:txbxContent>
                  <w:p w14:paraId="77ED479B">
                    <w:pPr>
                      <w:pStyle w:val="18"/>
                    </w:pPr>
                    <w:r>
                      <w:fldChar w:fldCharType="begin"/>
                    </w:r>
                    <w:r>
                      <w:instrText xml:space="preserve"> PAGE  \* MERGEFORMAT </w:instrText>
                    </w:r>
                    <w:r>
                      <w:fldChar w:fldCharType="separate"/>
                    </w:r>
                    <w:r>
                      <w:t>I</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63BB4">
    <w:pPr>
      <w:pStyle w:val="63"/>
    </w:pPr>
    <w:r>
      <w:fldChar w:fldCharType="begin"/>
    </w:r>
    <w:r>
      <w:instrText xml:space="preserve"> STYLEREF  标准文件_文件编号 \* MERGEFORMAT </w:instrText>
    </w:r>
    <w:r>
      <w:fldChar w:fldCharType="separate"/>
    </w:r>
    <w:r>
      <w:t>AQ XXXX—20XX</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E966">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102A">
    <w:pPr>
      <w:pStyle w:val="62"/>
    </w:pPr>
    <w:r>
      <w:fldChar w:fldCharType="begin"/>
    </w:r>
    <w:r>
      <w:instrText xml:space="preserve"> STYLEREF  标准文件_文件编号  \* MERGEFORMAT </w:instrText>
    </w:r>
    <w:r>
      <w:fldChar w:fldCharType="separate"/>
    </w:r>
    <w:r>
      <w:t>AQ XXXX—20XX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CC9B3">
    <w:pPr>
      <w:pStyle w:val="62"/>
    </w:pPr>
    <w:r>
      <w:fldChar w:fldCharType="begin"/>
    </w:r>
    <w:r>
      <w:instrText xml:space="preserve"> STYLEREF  标准文件_文件编号  \* MERGEFORMAT </w:instrText>
    </w:r>
    <w:r>
      <w:fldChar w:fldCharType="separate"/>
    </w:r>
    <w:r>
      <w:t>AQ XXXX—20XX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64F5E">
    <w:pPr>
      <w:pStyle w:val="63"/>
    </w:pPr>
    <w:r>
      <w:fldChar w:fldCharType="begin"/>
    </w:r>
    <w:r>
      <w:instrText xml:space="preserve"> STYLEREF  标准文件_文件编号 \* MERGEFORMAT </w:instrText>
    </w:r>
    <w:r>
      <w:fldChar w:fldCharType="separate"/>
    </w:r>
    <w:r>
      <w:t>AQ XXXX—20XX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C7A1">
    <w:pPr>
      <w:pStyle w:val="62"/>
    </w:pPr>
    <w:r>
      <w:fldChar w:fldCharType="begin"/>
    </w:r>
    <w:r>
      <w:instrText xml:space="preserve"> STYLEREF  标准文件_文件编号  \* MERGEFORMAT </w:instrText>
    </w:r>
    <w:r>
      <w:fldChar w:fldCharType="separate"/>
    </w:r>
    <w:r>
      <w:t>AQ XXXX—20XX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B4B6">
    <w:pPr>
      <w:pStyle w:val="63"/>
    </w:pPr>
    <w:r>
      <w:fldChar w:fldCharType="begin"/>
    </w:r>
    <w:r>
      <w:instrText xml:space="preserve"> STYLEREF  标准文件_文件编号 \* MERGEFORMAT </w:instrText>
    </w:r>
    <w:r>
      <w:fldChar w:fldCharType="separate"/>
    </w:r>
    <w:r>
      <w:t>AQ XXXX—20XX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04ECE">
    <w:pPr>
      <w:pStyle w:val="6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ADB78">
    <w:pPr>
      <w:pStyle w:val="62"/>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5A4A4">
    <w:pPr>
      <w:pStyle w:val="19"/>
      <w:rPr>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D54F7E"/>
    <w:multiLevelType w:val="multilevel"/>
    <w:tmpl w:val="A9D54F7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AB98A1A6"/>
    <w:multiLevelType w:val="multilevel"/>
    <w:tmpl w:val="AB98A1A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BDB3948D"/>
    <w:multiLevelType w:val="multilevel"/>
    <w:tmpl w:val="BDB3948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C00ED87A"/>
    <w:multiLevelType w:val="multilevel"/>
    <w:tmpl w:val="C00ED87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CF15B2CC"/>
    <w:multiLevelType w:val="singleLevel"/>
    <w:tmpl w:val="CF15B2CC"/>
    <w:lvl w:ilvl="0" w:tentative="0">
      <w:start w:val="1"/>
      <w:numFmt w:val="decimal"/>
      <w:lvlText w:val="%1."/>
      <w:lvlJc w:val="left"/>
      <w:pPr>
        <w:tabs>
          <w:tab w:val="left" w:pos="312"/>
        </w:tabs>
      </w:pPr>
    </w:lvl>
  </w:abstractNum>
  <w:abstractNum w:abstractNumId="5">
    <w:nsid w:val="DD48637F"/>
    <w:multiLevelType w:val="multilevel"/>
    <w:tmpl w:val="DD48637F"/>
    <w:lvl w:ilvl="0" w:tentative="0">
      <w:start w:val="1"/>
      <w:numFmt w:val="upperLetter"/>
      <w:pStyle w:val="200"/>
      <w:suff w:val="space"/>
      <w:lvlText w:val="%1"/>
      <w:lvlJc w:val="left"/>
      <w:pPr>
        <w:ind w:left="425" w:hanging="425"/>
      </w:pPr>
      <w:rPr>
        <w:rFonts w:hint="default"/>
      </w:rPr>
    </w:lvl>
    <w:lvl w:ilvl="1" w:tentative="0">
      <w:start w:val="1"/>
      <w:numFmt w:val="decimal"/>
      <w:pStyle w:val="78"/>
      <w:suff w:val="space"/>
      <w:lvlText w:val="表%1.%2 "/>
      <w:lvlJc w:val="center"/>
      <w:pPr>
        <w:tabs>
          <w:tab w:val="left" w:pos="3969"/>
        </w:tabs>
        <w:ind w:left="3969" w:firstLine="0"/>
      </w:pPr>
      <w:rPr>
        <w:rFonts w:hint="default"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E343FF49"/>
    <w:multiLevelType w:val="singleLevel"/>
    <w:tmpl w:val="E343FF49"/>
    <w:lvl w:ilvl="0" w:tentative="0">
      <w:start w:val="1"/>
      <w:numFmt w:val="lowerLetter"/>
      <w:lvlText w:val="%1)"/>
      <w:lvlJc w:val="left"/>
    </w:lvl>
  </w:abstractNum>
  <w:abstractNum w:abstractNumId="7">
    <w:nsid w:val="E68B94A1"/>
    <w:multiLevelType w:val="multilevel"/>
    <w:tmpl w:val="E68B94A1"/>
    <w:lvl w:ilvl="0" w:tentative="0">
      <w:start w:val="1"/>
      <w:numFmt w:val="lowerLetter"/>
      <w:pStyle w:val="175"/>
      <w:lvlText w:val="%1)"/>
      <w:lvlJc w:val="left"/>
      <w:pPr>
        <w:tabs>
          <w:tab w:val="left" w:pos="851"/>
        </w:tabs>
        <w:ind w:left="851" w:hanging="426"/>
      </w:pPr>
      <w:rPr>
        <w:rFonts w:hint="eastAsia" w:ascii="宋体" w:hAnsi="Times New Roman" w:eastAsia="宋体"/>
        <w:sz w:val="21"/>
      </w:rPr>
    </w:lvl>
    <w:lvl w:ilvl="1" w:tentative="0">
      <w:start w:val="1"/>
      <w:numFmt w:val="decimal"/>
      <w:pStyle w:val="110"/>
      <w:lvlText w:val="%2)"/>
      <w:lvlJc w:val="left"/>
      <w:pPr>
        <w:tabs>
          <w:tab w:val="left" w:pos="1276"/>
        </w:tabs>
        <w:ind w:left="1276" w:hanging="425"/>
      </w:pPr>
      <w:rPr>
        <w:rFonts w:hint="eastAsia" w:ascii="宋体" w:hAnsi="Times New Roman" w:eastAsia="宋体"/>
        <w:sz w:val="21"/>
      </w:rPr>
    </w:lvl>
    <w:lvl w:ilvl="2" w:tentative="0">
      <w:start w:val="1"/>
      <w:numFmt w:val="decimal"/>
      <w:pStyle w:val="118"/>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F7BBC124"/>
    <w:multiLevelType w:val="multilevel"/>
    <w:tmpl w:val="F7BBC12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02837933"/>
    <w:multiLevelType w:val="multilevel"/>
    <w:tmpl w:val="02837933"/>
    <w:lvl w:ilvl="0" w:tentative="0">
      <w:start w:val="1"/>
      <w:numFmt w:val="decimal"/>
      <w:pStyle w:val="65"/>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0">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0"/>
      <w:suff w:val="nothing"/>
      <w:lvlText w:val="%1%2.%3　"/>
      <w:lvlJc w:val="left"/>
      <w:pPr>
        <w:ind w:left="0" w:firstLine="0"/>
      </w:pPr>
    </w:lvl>
    <w:lvl w:ilvl="3" w:tentative="0">
      <w:start w:val="1"/>
      <w:numFmt w:val="decimal"/>
      <w:pStyle w:val="119"/>
      <w:suff w:val="nothing"/>
      <w:lvlText w:val="%1%2.%3.%4　"/>
      <w:lvlJc w:val="left"/>
      <w:pPr>
        <w:ind w:left="0" w:firstLine="0"/>
      </w:pPr>
    </w:lvl>
    <w:lvl w:ilvl="4" w:tentative="0">
      <w:start w:val="1"/>
      <w:numFmt w:val="decimal"/>
      <w:pStyle w:val="154"/>
      <w:suff w:val="nothing"/>
      <w:lvlText w:val="%1%2.%3.%4.%5　"/>
      <w:lvlJc w:val="left"/>
      <w:pPr>
        <w:ind w:left="0" w:firstLine="0"/>
      </w:pPr>
    </w:lvl>
    <w:lvl w:ilvl="5" w:tentative="0">
      <w:start w:val="1"/>
      <w:numFmt w:val="decimal"/>
      <w:pStyle w:val="156"/>
      <w:suff w:val="nothing"/>
      <w:lvlText w:val="%1%2.%3.%4.%5.%6　"/>
      <w:lvlJc w:val="left"/>
      <w:pPr>
        <w:ind w:left="0" w:firstLine="0"/>
      </w:pPr>
    </w:lvl>
    <w:lvl w:ilvl="6" w:tentative="0">
      <w:start w:val="1"/>
      <w:numFmt w:val="decimal"/>
      <w:pStyle w:val="159"/>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1">
    <w:nsid w:val="079102AD"/>
    <w:multiLevelType w:val="multilevel"/>
    <w:tmpl w:val="079102AD"/>
    <w:lvl w:ilvl="0" w:tentative="0">
      <w:start w:val="1"/>
      <w:numFmt w:val="decimal"/>
      <w:pStyle w:val="181"/>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2">
    <w:nsid w:val="07ED3FEA"/>
    <w:multiLevelType w:val="multilevel"/>
    <w:tmpl w:val="07ED3FEA"/>
    <w:lvl w:ilvl="0" w:tentative="0">
      <w:start w:val="1"/>
      <w:numFmt w:val="none"/>
      <w:pStyle w:val="90"/>
      <w:lvlText w:val="%1"/>
      <w:lvlJc w:val="left"/>
      <w:pPr>
        <w:ind w:left="425" w:hanging="425"/>
      </w:pPr>
      <w:rPr>
        <w:rFonts w:hint="eastAsia"/>
      </w:rPr>
    </w:lvl>
    <w:lvl w:ilvl="1" w:tentative="0">
      <w:start w:val="1"/>
      <w:numFmt w:val="decimal"/>
      <w:pStyle w:val="201"/>
      <w:suff w:val="nothing"/>
      <w:lvlText w:val="%10.%2 "/>
      <w:lvlJc w:val="left"/>
      <w:pPr>
        <w:ind w:left="0" w:firstLine="0"/>
      </w:pPr>
      <w:rPr>
        <w:rFonts w:hint="eastAsia" w:ascii="黑体" w:eastAsia="黑体" w:hAnsiTheme="minorHAnsi"/>
        <w:b w:val="0"/>
        <w:i w:val="0"/>
        <w:sz w:val="21"/>
      </w:rPr>
    </w:lvl>
    <w:lvl w:ilvl="2" w:tentative="0">
      <w:start w:val="1"/>
      <w:numFmt w:val="decimal"/>
      <w:pStyle w:val="202"/>
      <w:suff w:val="nothing"/>
      <w:lvlText w:val="%10.%2.%3 "/>
      <w:lvlJc w:val="left"/>
      <w:pPr>
        <w:ind w:left="0" w:firstLine="0"/>
      </w:pPr>
      <w:rPr>
        <w:rFonts w:hint="eastAsia" w:ascii="黑体" w:eastAsia="黑体" w:hAnsiTheme="minorHAnsi"/>
        <w:b w:val="0"/>
        <w:i w:val="0"/>
        <w:sz w:val="21"/>
      </w:rPr>
    </w:lvl>
    <w:lvl w:ilvl="3" w:tentative="0">
      <w:start w:val="1"/>
      <w:numFmt w:val="decimal"/>
      <w:pStyle w:val="203"/>
      <w:suff w:val="nothing"/>
      <w:lvlText w:val="%10.%2.%3.%4 "/>
      <w:lvlJc w:val="left"/>
      <w:pPr>
        <w:ind w:left="0" w:firstLine="0"/>
      </w:pPr>
      <w:rPr>
        <w:rFonts w:hint="eastAsia" w:ascii="黑体" w:eastAsia="黑体" w:hAnsiTheme="minorHAnsi"/>
        <w:b w:val="0"/>
        <w:i w:val="0"/>
        <w:sz w:val="21"/>
      </w:rPr>
    </w:lvl>
    <w:lvl w:ilvl="4" w:tentative="0">
      <w:start w:val="1"/>
      <w:numFmt w:val="decimal"/>
      <w:pStyle w:val="204"/>
      <w:suff w:val="nothing"/>
      <w:lvlText w:val="%10.%2.%3.%4.%5 "/>
      <w:lvlJc w:val="left"/>
      <w:pPr>
        <w:ind w:left="0" w:firstLine="0"/>
      </w:pPr>
      <w:rPr>
        <w:rFonts w:hint="eastAsia" w:ascii="黑体" w:eastAsia="黑体" w:hAnsiTheme="minorHAnsi"/>
        <w:b w:val="0"/>
        <w:i w:val="0"/>
        <w:sz w:val="21"/>
      </w:rPr>
    </w:lvl>
    <w:lvl w:ilvl="5" w:tentative="0">
      <w:start w:val="1"/>
      <w:numFmt w:val="decimal"/>
      <w:pStyle w:val="205"/>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0AE367E9"/>
    <w:multiLevelType w:val="multilevel"/>
    <w:tmpl w:val="0AE367E9"/>
    <w:lvl w:ilvl="0" w:tentative="0">
      <w:start w:val="1"/>
      <w:numFmt w:val="none"/>
      <w:pStyle w:val="182"/>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4">
    <w:nsid w:val="0BDC1670"/>
    <w:multiLevelType w:val="multilevel"/>
    <w:tmpl w:val="0BDC1670"/>
    <w:lvl w:ilvl="0" w:tentative="0">
      <w:start w:val="1"/>
      <w:numFmt w:val="decimal"/>
      <w:pStyle w:val="68"/>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0D051F45"/>
    <w:multiLevelType w:val="multilevel"/>
    <w:tmpl w:val="0D051F45"/>
    <w:lvl w:ilvl="0" w:tentative="0">
      <w:start w:val="1"/>
      <w:numFmt w:val="low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16">
    <w:nsid w:val="135E3870"/>
    <w:multiLevelType w:val="multilevel"/>
    <w:tmpl w:val="135E3870"/>
    <w:lvl w:ilvl="0" w:tentative="0">
      <w:start w:val="1"/>
      <w:numFmt w:val="lowerLetter"/>
      <w:lvlText w:val="%1)"/>
      <w:lvlJc w:val="left"/>
      <w:pPr>
        <w:ind w:left="0" w:firstLine="0"/>
      </w:pPr>
      <w:rPr>
        <w:rFonts w:hint="eastAsia" w:ascii="宋体" w:hAnsi="宋体" w:eastAsia="宋体"/>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1AD20F90"/>
    <w:multiLevelType w:val="multilevel"/>
    <w:tmpl w:val="1AD20F90"/>
    <w:lvl w:ilvl="0" w:tentative="0">
      <w:start w:val="1"/>
      <w:numFmt w:val="none"/>
      <w:pStyle w:val="111"/>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1AF15012"/>
    <w:multiLevelType w:val="multilevel"/>
    <w:tmpl w:val="1AF15012"/>
    <w:lvl w:ilvl="0" w:tentative="0">
      <w:start w:val="1"/>
      <w:numFmt w:val="upperLetter"/>
      <w:pStyle w:val="86"/>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9">
    <w:nsid w:val="1EAA1992"/>
    <w:multiLevelType w:val="multilevel"/>
    <w:tmpl w:val="1EAA1992"/>
    <w:lvl w:ilvl="0" w:tentative="0">
      <w:start w:val="1"/>
      <w:numFmt w:val="none"/>
      <w:pStyle w:val="93"/>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20">
    <w:nsid w:val="23484FC7"/>
    <w:multiLevelType w:val="multilevel"/>
    <w:tmpl w:val="23484FC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2C5917C3"/>
    <w:multiLevelType w:val="multilevel"/>
    <w:tmpl w:val="2C5917C3"/>
    <w:lvl w:ilvl="0" w:tentative="0">
      <w:start w:val="1"/>
      <w:numFmt w:val="none"/>
      <w:pStyle w:val="133"/>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8"/>
      <w:lvlText w:val=""/>
      <w:lvlJc w:val="left"/>
      <w:pPr>
        <w:ind w:left="851" w:hanging="431"/>
      </w:pPr>
      <w:rPr>
        <w:rFonts w:hint="default" w:ascii="Symbol" w:hAnsi="Symbol"/>
        <w:sz w:val="21"/>
      </w:rPr>
    </w:lvl>
    <w:lvl w:ilvl="2" w:tentative="0">
      <w:start w:val="1"/>
      <w:numFmt w:val="bullet"/>
      <w:pStyle w:val="173"/>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22">
    <w:nsid w:val="2D8C9563"/>
    <w:multiLevelType w:val="singleLevel"/>
    <w:tmpl w:val="2D8C9563"/>
    <w:lvl w:ilvl="0" w:tentative="0">
      <w:start w:val="1"/>
      <w:numFmt w:val="lowerLetter"/>
      <w:lvlText w:val="%1)"/>
      <w:lvlJc w:val="left"/>
      <w:pPr>
        <w:tabs>
          <w:tab w:val="left" w:pos="839"/>
        </w:tabs>
        <w:ind w:left="839" w:hanging="419"/>
      </w:pPr>
      <w:rPr>
        <w:rFonts w:hint="default"/>
      </w:rPr>
    </w:lvl>
  </w:abstractNum>
  <w:abstractNum w:abstractNumId="23">
    <w:nsid w:val="32F04FB2"/>
    <w:multiLevelType w:val="multilevel"/>
    <w:tmpl w:val="32F04FB2"/>
    <w:lvl w:ilvl="0" w:tentative="0">
      <w:start w:val="1"/>
      <w:numFmt w:val="lowerLetter"/>
      <w:pStyle w:val="102"/>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4">
    <w:nsid w:val="44C50F90"/>
    <w:multiLevelType w:val="multilevel"/>
    <w:tmpl w:val="44C50F9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5">
    <w:nsid w:val="46DA874A"/>
    <w:multiLevelType w:val="multilevel"/>
    <w:tmpl w:val="46DA874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6">
    <w:nsid w:val="48802D1C"/>
    <w:multiLevelType w:val="multilevel"/>
    <w:tmpl w:val="48802D1C"/>
    <w:lvl w:ilvl="0" w:tentative="0">
      <w:start w:val="1"/>
      <w:numFmt w:val="upperLetter"/>
      <w:pStyle w:val="199"/>
      <w:lvlText w:val="%1"/>
      <w:lvlJc w:val="left"/>
      <w:pPr>
        <w:ind w:left="420" w:hanging="420"/>
      </w:pPr>
      <w:rPr>
        <w:rFonts w:hint="eastAsia"/>
      </w:rPr>
    </w:lvl>
    <w:lvl w:ilvl="1" w:tentative="0">
      <w:start w:val="1"/>
      <w:numFmt w:val="decimal"/>
      <w:pStyle w:val="84"/>
      <w:suff w:val="space"/>
      <w:lvlText w:val="图%1.%2 "/>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7">
    <w:nsid w:val="4B733A5F"/>
    <w:multiLevelType w:val="multilevel"/>
    <w:tmpl w:val="4B733A5F"/>
    <w:lvl w:ilvl="0" w:tentative="0">
      <w:start w:val="1"/>
      <w:numFmt w:val="decimal"/>
      <w:pStyle w:val="184"/>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28">
    <w:nsid w:val="4E5D0534"/>
    <w:multiLevelType w:val="multilevel"/>
    <w:tmpl w:val="4E5D0534"/>
    <w:lvl w:ilvl="0" w:tentative="0">
      <w:start w:val="1"/>
      <w:numFmt w:val="decimal"/>
      <w:pStyle w:val="117"/>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9">
    <w:nsid w:val="54632751"/>
    <w:multiLevelType w:val="multilevel"/>
    <w:tmpl w:val="54632751"/>
    <w:lvl w:ilvl="0" w:tentative="0">
      <w:start w:val="1"/>
      <w:numFmt w:val="none"/>
      <w:pStyle w:val="94"/>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30">
    <w:nsid w:val="557C2AF5"/>
    <w:multiLevelType w:val="multilevel"/>
    <w:tmpl w:val="557C2AF5"/>
    <w:lvl w:ilvl="0" w:tentative="0">
      <w:start w:val="1"/>
      <w:numFmt w:val="decimal"/>
      <w:pStyle w:val="115"/>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564D2089"/>
    <w:multiLevelType w:val="multilevel"/>
    <w:tmpl w:val="564D2089"/>
    <w:lvl w:ilvl="0" w:tentative="0">
      <w:start w:val="1"/>
      <w:numFmt w:val="none"/>
      <w:pStyle w:val="112"/>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44622F9"/>
    <w:multiLevelType w:val="multilevel"/>
    <w:tmpl w:val="644622F9"/>
    <w:lvl w:ilvl="0" w:tentative="0">
      <w:start w:val="1"/>
      <w:numFmt w:val="upp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33">
    <w:nsid w:val="646260FA"/>
    <w:multiLevelType w:val="multilevel"/>
    <w:tmpl w:val="646260FA"/>
    <w:lvl w:ilvl="0" w:tentative="0">
      <w:start w:val="1"/>
      <w:numFmt w:val="decimal"/>
      <w:pStyle w:val="113"/>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34">
    <w:nsid w:val="654A26C9"/>
    <w:multiLevelType w:val="multilevel"/>
    <w:tmpl w:val="654A26C9"/>
    <w:lvl w:ilvl="0" w:tentative="0">
      <w:start w:val="1"/>
      <w:numFmt w:val="none"/>
      <w:pStyle w:val="190"/>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35">
    <w:nsid w:val="657D3FBC"/>
    <w:multiLevelType w:val="multilevel"/>
    <w:tmpl w:val="657D3FBC"/>
    <w:lvl w:ilvl="0" w:tentative="0">
      <w:start w:val="1"/>
      <w:numFmt w:val="upperLetter"/>
      <w:pStyle w:val="77"/>
      <w:suff w:val="nothing"/>
      <w:lvlText w:val="附录%1"/>
      <w:lvlJc w:val="left"/>
      <w:pPr>
        <w:ind w:left="0" w:firstLine="0"/>
      </w:pPr>
      <w:rPr>
        <w:rFonts w:hint="eastAsia"/>
        <w:spacing w:val="100"/>
      </w:rPr>
    </w:lvl>
    <w:lvl w:ilvl="1" w:tentative="0">
      <w:start w:val="1"/>
      <w:numFmt w:val="decimal"/>
      <w:pStyle w:val="79"/>
      <w:suff w:val="nothing"/>
      <w:lvlText w:val="%1.%2　"/>
      <w:lvlJc w:val="left"/>
      <w:pPr>
        <w:ind w:left="0" w:firstLine="0"/>
      </w:pPr>
      <w:rPr>
        <w:rFonts w:hint="eastAsia" w:ascii="黑体" w:eastAsia="黑体"/>
        <w:b w:val="0"/>
        <w:i w:val="0"/>
        <w:sz w:val="21"/>
      </w:rPr>
    </w:lvl>
    <w:lvl w:ilvl="2" w:tentative="0">
      <w:start w:val="1"/>
      <w:numFmt w:val="decimal"/>
      <w:pStyle w:val="80"/>
      <w:suff w:val="nothing"/>
      <w:lvlText w:val="%1.%2.%3　"/>
      <w:lvlJc w:val="left"/>
      <w:pPr>
        <w:ind w:left="0" w:firstLine="0"/>
      </w:pPr>
      <w:rPr>
        <w:rFonts w:hint="eastAsia" w:ascii="黑体" w:eastAsia="黑体"/>
        <w:b w:val="0"/>
        <w:i w:val="0"/>
        <w:sz w:val="21"/>
      </w:rPr>
    </w:lvl>
    <w:lvl w:ilvl="3" w:tentative="0">
      <w:start w:val="1"/>
      <w:numFmt w:val="decimal"/>
      <w:pStyle w:val="82"/>
      <w:suff w:val="nothing"/>
      <w:lvlText w:val="%1.%2.%3.%4　"/>
      <w:lvlJc w:val="left"/>
      <w:pPr>
        <w:ind w:left="0" w:firstLine="0"/>
      </w:pPr>
      <w:rPr>
        <w:rFonts w:hint="eastAsia" w:ascii="黑体" w:eastAsia="黑体"/>
        <w:b w:val="0"/>
        <w:i w:val="0"/>
        <w:sz w:val="21"/>
      </w:rPr>
    </w:lvl>
    <w:lvl w:ilvl="4" w:tentative="0">
      <w:start w:val="1"/>
      <w:numFmt w:val="decimal"/>
      <w:pStyle w:val="83"/>
      <w:suff w:val="nothing"/>
      <w:lvlText w:val="%1.%2.%3.%4.%5　"/>
      <w:lvlJc w:val="left"/>
      <w:pPr>
        <w:ind w:left="0" w:firstLine="0"/>
      </w:pPr>
      <w:rPr>
        <w:rFonts w:hint="eastAsia" w:ascii="黑体" w:eastAsia="黑体"/>
        <w:b w:val="0"/>
        <w:i w:val="0"/>
        <w:sz w:val="21"/>
      </w:rPr>
    </w:lvl>
    <w:lvl w:ilvl="5" w:tentative="0">
      <w:start w:val="1"/>
      <w:numFmt w:val="decimal"/>
      <w:pStyle w:val="85"/>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6">
    <w:nsid w:val="69506ABF"/>
    <w:multiLevelType w:val="multilevel"/>
    <w:tmpl w:val="69506ABF"/>
    <w:lvl w:ilvl="0" w:tentative="0">
      <w:start w:val="1"/>
      <w:numFmt w:val="bullet"/>
      <w:pStyle w:val="189"/>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7">
    <w:nsid w:val="6CA41985"/>
    <w:multiLevelType w:val="multilevel"/>
    <w:tmpl w:val="6CA41985"/>
    <w:lvl w:ilvl="0" w:tentative="0">
      <w:start w:val="1"/>
      <w:numFmt w:val="decimal"/>
      <w:pStyle w:val="98"/>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6CE42AC1"/>
    <w:multiLevelType w:val="multilevel"/>
    <w:tmpl w:val="6CE42AC1"/>
    <w:lvl w:ilvl="0" w:tentative="0">
      <w:start w:val="1"/>
      <w:numFmt w:val="lowerLetter"/>
      <w:pStyle w:val="17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CEA2025"/>
    <w:multiLevelType w:val="multilevel"/>
    <w:tmpl w:val="6CEA2025"/>
    <w:lvl w:ilvl="0" w:tentative="0">
      <w:start w:val="1"/>
      <w:numFmt w:val="none"/>
      <w:pStyle w:val="153"/>
      <w:suff w:val="nothing"/>
      <w:lvlText w:val="%1"/>
      <w:lvlJc w:val="left"/>
      <w:pPr>
        <w:ind w:left="0" w:firstLine="0"/>
      </w:pPr>
      <w:rPr>
        <w:rFonts w:hint="eastAsia"/>
      </w:rPr>
    </w:lvl>
    <w:lvl w:ilvl="1" w:tentative="0">
      <w:start w:val="1"/>
      <w:numFmt w:val="decimal"/>
      <w:pStyle w:val="105"/>
      <w:suff w:val="nothing"/>
      <w:lvlText w:val="%1%2　"/>
      <w:lvlJc w:val="left"/>
      <w:pPr>
        <w:ind w:left="0" w:firstLine="0"/>
      </w:pPr>
      <w:rPr>
        <w:rFonts w:hint="eastAsia" w:ascii="黑体" w:eastAsia="黑体"/>
        <w:b w:val="0"/>
        <w:i w:val="0"/>
        <w:sz w:val="21"/>
      </w:rPr>
    </w:lvl>
    <w:lvl w:ilvl="2" w:tentative="0">
      <w:start w:val="1"/>
      <w:numFmt w:val="decimal"/>
      <w:pStyle w:val="10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6"/>
      <w:suff w:val="nothing"/>
      <w:lvlText w:val="%1%2.%3.%4　"/>
      <w:lvlJc w:val="left"/>
      <w:pPr>
        <w:ind w:left="0" w:firstLine="0"/>
      </w:pPr>
      <w:rPr>
        <w:rFonts w:hint="eastAsia" w:ascii="黑体" w:eastAsia="黑体"/>
        <w:b w:val="0"/>
        <w:i w:val="0"/>
        <w:sz w:val="21"/>
      </w:rPr>
    </w:lvl>
    <w:lvl w:ilvl="4" w:tentative="0">
      <w:start w:val="1"/>
      <w:numFmt w:val="decimal"/>
      <w:pStyle w:val="95"/>
      <w:suff w:val="nothing"/>
      <w:lvlText w:val="%1%2.%3.%4.%5　"/>
      <w:lvlJc w:val="left"/>
      <w:pPr>
        <w:ind w:left="0" w:firstLine="0"/>
      </w:pPr>
      <w:rPr>
        <w:rFonts w:hint="eastAsia" w:ascii="黑体" w:eastAsia="黑体"/>
        <w:b w:val="0"/>
        <w:i w:val="0"/>
        <w:sz w:val="21"/>
      </w:rPr>
    </w:lvl>
    <w:lvl w:ilvl="5" w:tentative="0">
      <w:start w:val="1"/>
      <w:numFmt w:val="decimal"/>
      <w:pStyle w:val="99"/>
      <w:suff w:val="nothing"/>
      <w:lvlText w:val="%1%2.%3.%4.%5.%6　"/>
      <w:lvlJc w:val="left"/>
      <w:pPr>
        <w:ind w:left="0" w:firstLine="0"/>
      </w:pPr>
      <w:rPr>
        <w:rFonts w:hint="eastAsia" w:ascii="黑体" w:eastAsia="黑体"/>
        <w:b w:val="0"/>
        <w:i w:val="0"/>
        <w:sz w:val="21"/>
      </w:rPr>
    </w:lvl>
    <w:lvl w:ilvl="6" w:tentative="0">
      <w:start w:val="1"/>
      <w:numFmt w:val="decimal"/>
      <w:pStyle w:val="104"/>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0">
    <w:nsid w:val="6DBF04F4"/>
    <w:multiLevelType w:val="multilevel"/>
    <w:tmpl w:val="6DBF04F4"/>
    <w:lvl w:ilvl="0" w:tentative="0">
      <w:start w:val="1"/>
      <w:numFmt w:val="none"/>
      <w:pStyle w:val="180"/>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41">
    <w:nsid w:val="6DF35F19"/>
    <w:multiLevelType w:val="multilevel"/>
    <w:tmpl w:val="6DF35F19"/>
    <w:lvl w:ilvl="0" w:tentative="0">
      <w:start w:val="1"/>
      <w:numFmt w:val="decimal"/>
      <w:pStyle w:val="11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42">
    <w:nsid w:val="76933334"/>
    <w:multiLevelType w:val="multilevel"/>
    <w:tmpl w:val="76933334"/>
    <w:lvl w:ilvl="0" w:tentative="0">
      <w:start w:val="1"/>
      <w:numFmt w:val="none"/>
      <w:pStyle w:val="140"/>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39"/>
  </w:num>
  <w:num w:numId="3">
    <w:abstractNumId w:val="14"/>
  </w:num>
  <w:num w:numId="4">
    <w:abstractNumId w:val="35"/>
  </w:num>
  <w:num w:numId="5">
    <w:abstractNumId w:val="5"/>
  </w:num>
  <w:num w:numId="6">
    <w:abstractNumId w:val="26"/>
  </w:num>
  <w:num w:numId="7">
    <w:abstractNumId w:val="18"/>
  </w:num>
  <w:num w:numId="8">
    <w:abstractNumId w:val="12"/>
  </w:num>
  <w:num w:numId="9">
    <w:abstractNumId w:val="19"/>
  </w:num>
  <w:num w:numId="10">
    <w:abstractNumId w:val="29"/>
  </w:num>
  <w:num w:numId="11">
    <w:abstractNumId w:val="37"/>
  </w:num>
  <w:num w:numId="12">
    <w:abstractNumId w:val="23"/>
  </w:num>
  <w:num w:numId="13">
    <w:abstractNumId w:val="7"/>
  </w:num>
  <w:num w:numId="14">
    <w:abstractNumId w:val="17"/>
  </w:num>
  <w:num w:numId="15">
    <w:abstractNumId w:val="31"/>
  </w:num>
  <w:num w:numId="16">
    <w:abstractNumId w:val="33"/>
  </w:num>
  <w:num w:numId="17">
    <w:abstractNumId w:val="30"/>
  </w:num>
  <w:num w:numId="18">
    <w:abstractNumId w:val="41"/>
  </w:num>
  <w:num w:numId="19">
    <w:abstractNumId w:val="28"/>
  </w:num>
  <w:num w:numId="20">
    <w:abstractNumId w:val="10"/>
  </w:num>
  <w:num w:numId="21">
    <w:abstractNumId w:val="21"/>
  </w:num>
  <w:num w:numId="22">
    <w:abstractNumId w:val="42"/>
  </w:num>
  <w:num w:numId="23">
    <w:abstractNumId w:val="32"/>
  </w:num>
  <w:num w:numId="24">
    <w:abstractNumId w:val="15"/>
  </w:num>
  <w:num w:numId="25">
    <w:abstractNumId w:val="38"/>
  </w:num>
  <w:num w:numId="26">
    <w:abstractNumId w:val="40"/>
  </w:num>
  <w:num w:numId="27">
    <w:abstractNumId w:val="11"/>
  </w:num>
  <w:num w:numId="28">
    <w:abstractNumId w:val="13"/>
  </w:num>
  <w:num w:numId="29">
    <w:abstractNumId w:val="27"/>
  </w:num>
  <w:num w:numId="30">
    <w:abstractNumId w:val="36"/>
  </w:num>
  <w:num w:numId="31">
    <w:abstractNumId w:val="34"/>
  </w:num>
  <w:num w:numId="32">
    <w:abstractNumId w:val="22"/>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num>
  <w:num w:numId="5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attachedTemplate r:id="rId1"/>
  <w:documentProtection w:edit="forms"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46769"/>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410E8"/>
    <w:rsid w:val="0004249A"/>
    <w:rsid w:val="00043282"/>
    <w:rsid w:val="00044286"/>
    <w:rsid w:val="00047F28"/>
    <w:rsid w:val="00047F8C"/>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4B33"/>
    <w:rsid w:val="00077B64"/>
    <w:rsid w:val="00080A1C"/>
    <w:rsid w:val="000815D6"/>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023"/>
    <w:rsid w:val="000C0F6C"/>
    <w:rsid w:val="000C11DB"/>
    <w:rsid w:val="000C1492"/>
    <w:rsid w:val="000C2FBD"/>
    <w:rsid w:val="000C4B41"/>
    <w:rsid w:val="000C57D6"/>
    <w:rsid w:val="000C7666"/>
    <w:rsid w:val="000D0A9C"/>
    <w:rsid w:val="000D1795"/>
    <w:rsid w:val="000D2F41"/>
    <w:rsid w:val="000D329A"/>
    <w:rsid w:val="000D4B9C"/>
    <w:rsid w:val="000D4EB6"/>
    <w:rsid w:val="000D753B"/>
    <w:rsid w:val="000E1003"/>
    <w:rsid w:val="000E4C9E"/>
    <w:rsid w:val="000E6FD7"/>
    <w:rsid w:val="000F06E1"/>
    <w:rsid w:val="000F0E3C"/>
    <w:rsid w:val="000F19D5"/>
    <w:rsid w:val="000F4AEA"/>
    <w:rsid w:val="000F67E9"/>
    <w:rsid w:val="00100335"/>
    <w:rsid w:val="00104926"/>
    <w:rsid w:val="00113B1E"/>
    <w:rsid w:val="0011711C"/>
    <w:rsid w:val="00124E4F"/>
    <w:rsid w:val="001255E7"/>
    <w:rsid w:val="001260B7"/>
    <w:rsid w:val="00126385"/>
    <w:rsid w:val="001265CB"/>
    <w:rsid w:val="001321C6"/>
    <w:rsid w:val="001325C4"/>
    <w:rsid w:val="00133010"/>
    <w:rsid w:val="001338EE"/>
    <w:rsid w:val="00133AAE"/>
    <w:rsid w:val="00135323"/>
    <w:rsid w:val="001356C4"/>
    <w:rsid w:val="00141114"/>
    <w:rsid w:val="00142969"/>
    <w:rsid w:val="00142974"/>
    <w:rsid w:val="001457E7"/>
    <w:rsid w:val="00145D9D"/>
    <w:rsid w:val="00146388"/>
    <w:rsid w:val="001529E5"/>
    <w:rsid w:val="00153C7E"/>
    <w:rsid w:val="00156B25"/>
    <w:rsid w:val="00156E1A"/>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A1A53"/>
    <w:rsid w:val="001A234A"/>
    <w:rsid w:val="001B06E8"/>
    <w:rsid w:val="001B193E"/>
    <w:rsid w:val="001B71D0"/>
    <w:rsid w:val="001B71EE"/>
    <w:rsid w:val="001C04A8"/>
    <w:rsid w:val="001C2C03"/>
    <w:rsid w:val="001C42F7"/>
    <w:rsid w:val="001C49E5"/>
    <w:rsid w:val="001C680C"/>
    <w:rsid w:val="001C7FEA"/>
    <w:rsid w:val="001D0499"/>
    <w:rsid w:val="001D0BBE"/>
    <w:rsid w:val="001D0ED4"/>
    <w:rsid w:val="001D212F"/>
    <w:rsid w:val="001D27F1"/>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107D"/>
    <w:rsid w:val="00202AA4"/>
    <w:rsid w:val="002031F7"/>
    <w:rsid w:val="002040E6"/>
    <w:rsid w:val="0020527B"/>
    <w:rsid w:val="002059A4"/>
    <w:rsid w:val="00205F2C"/>
    <w:rsid w:val="00210B15"/>
    <w:rsid w:val="002142EA"/>
    <w:rsid w:val="002204BB"/>
    <w:rsid w:val="00221B79"/>
    <w:rsid w:val="00221C6B"/>
    <w:rsid w:val="00224596"/>
    <w:rsid w:val="002253A1"/>
    <w:rsid w:val="00225CF8"/>
    <w:rsid w:val="0022718D"/>
    <w:rsid w:val="00227839"/>
    <w:rsid w:val="0022794E"/>
    <w:rsid w:val="00233D64"/>
    <w:rsid w:val="0023478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4BC"/>
    <w:rsid w:val="002643C3"/>
    <w:rsid w:val="00264A0C"/>
    <w:rsid w:val="00267EF4"/>
    <w:rsid w:val="00270230"/>
    <w:rsid w:val="00270CB8"/>
    <w:rsid w:val="00272B08"/>
    <w:rsid w:val="00281BB8"/>
    <w:rsid w:val="00281E9E"/>
    <w:rsid w:val="00285170"/>
    <w:rsid w:val="00285361"/>
    <w:rsid w:val="00292D6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23E3"/>
    <w:rsid w:val="002B4508"/>
    <w:rsid w:val="002B5779"/>
    <w:rsid w:val="002B7332"/>
    <w:rsid w:val="002B7F51"/>
    <w:rsid w:val="002C09E7"/>
    <w:rsid w:val="002C3F07"/>
    <w:rsid w:val="002C5278"/>
    <w:rsid w:val="002C5A3B"/>
    <w:rsid w:val="002C7EBB"/>
    <w:rsid w:val="002D06C1"/>
    <w:rsid w:val="002D42B5"/>
    <w:rsid w:val="002D4F1A"/>
    <w:rsid w:val="002D6DA6"/>
    <w:rsid w:val="002D6EC6"/>
    <w:rsid w:val="002D79AC"/>
    <w:rsid w:val="002E039D"/>
    <w:rsid w:val="002E2C02"/>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E62"/>
    <w:rsid w:val="00324EDD"/>
    <w:rsid w:val="003331E4"/>
    <w:rsid w:val="00336C64"/>
    <w:rsid w:val="00337162"/>
    <w:rsid w:val="0034194F"/>
    <w:rsid w:val="00341FD2"/>
    <w:rsid w:val="00342DB8"/>
    <w:rsid w:val="00344605"/>
    <w:rsid w:val="0034651D"/>
    <w:rsid w:val="003474AA"/>
    <w:rsid w:val="00350D1D"/>
    <w:rsid w:val="00351901"/>
    <w:rsid w:val="00352C83"/>
    <w:rsid w:val="003615D2"/>
    <w:rsid w:val="0036429C"/>
    <w:rsid w:val="00364A53"/>
    <w:rsid w:val="003654CB"/>
    <w:rsid w:val="00365F86"/>
    <w:rsid w:val="00365F8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21C"/>
    <w:rsid w:val="003938D9"/>
    <w:rsid w:val="00394376"/>
    <w:rsid w:val="003943FF"/>
    <w:rsid w:val="003974EB"/>
    <w:rsid w:val="00397CC5"/>
    <w:rsid w:val="003A1582"/>
    <w:rsid w:val="003A4077"/>
    <w:rsid w:val="003B09AD"/>
    <w:rsid w:val="003B0BD9"/>
    <w:rsid w:val="003B1F18"/>
    <w:rsid w:val="003B4E54"/>
    <w:rsid w:val="003B5BF0"/>
    <w:rsid w:val="003B60BF"/>
    <w:rsid w:val="003B6BE3"/>
    <w:rsid w:val="003C010C"/>
    <w:rsid w:val="003C0A6C"/>
    <w:rsid w:val="003C2519"/>
    <w:rsid w:val="003C2859"/>
    <w:rsid w:val="003C3FA9"/>
    <w:rsid w:val="003C5A43"/>
    <w:rsid w:val="003D0519"/>
    <w:rsid w:val="003D0FF6"/>
    <w:rsid w:val="003D262C"/>
    <w:rsid w:val="003D6D61"/>
    <w:rsid w:val="003E091D"/>
    <w:rsid w:val="003E1C53"/>
    <w:rsid w:val="003E2A69"/>
    <w:rsid w:val="003E2D49"/>
    <w:rsid w:val="003E2FD4"/>
    <w:rsid w:val="003E49F6"/>
    <w:rsid w:val="003F0841"/>
    <w:rsid w:val="003F0EC5"/>
    <w:rsid w:val="003F23D3"/>
    <w:rsid w:val="003F3F08"/>
    <w:rsid w:val="003F49F1"/>
    <w:rsid w:val="003F6272"/>
    <w:rsid w:val="003F72A3"/>
    <w:rsid w:val="00400E72"/>
    <w:rsid w:val="00401400"/>
    <w:rsid w:val="00404869"/>
    <w:rsid w:val="00405884"/>
    <w:rsid w:val="00406F52"/>
    <w:rsid w:val="00407D39"/>
    <w:rsid w:val="0041477A"/>
    <w:rsid w:val="00414FBF"/>
    <w:rsid w:val="004167A3"/>
    <w:rsid w:val="0042054E"/>
    <w:rsid w:val="00432DAA"/>
    <w:rsid w:val="00434305"/>
    <w:rsid w:val="00435DF7"/>
    <w:rsid w:val="0044083F"/>
    <w:rsid w:val="00441AE7"/>
    <w:rsid w:val="00445574"/>
    <w:rsid w:val="004467FB"/>
    <w:rsid w:val="0045278B"/>
    <w:rsid w:val="00452D6B"/>
    <w:rsid w:val="00454484"/>
    <w:rsid w:val="0045517B"/>
    <w:rsid w:val="004563CD"/>
    <w:rsid w:val="00463B77"/>
    <w:rsid w:val="00463C7B"/>
    <w:rsid w:val="00463F02"/>
    <w:rsid w:val="004644A6"/>
    <w:rsid w:val="004659BD"/>
    <w:rsid w:val="00470775"/>
    <w:rsid w:val="004715BD"/>
    <w:rsid w:val="004746B1"/>
    <w:rsid w:val="0047583F"/>
    <w:rsid w:val="00484936"/>
    <w:rsid w:val="00485C89"/>
    <w:rsid w:val="00486BE3"/>
    <w:rsid w:val="004905E4"/>
    <w:rsid w:val="00490A89"/>
    <w:rsid w:val="00490AB4"/>
    <w:rsid w:val="0049136D"/>
    <w:rsid w:val="004920D8"/>
    <w:rsid w:val="00492F02"/>
    <w:rsid w:val="004939AE"/>
    <w:rsid w:val="0049622A"/>
    <w:rsid w:val="004A12DF"/>
    <w:rsid w:val="004A1BA8"/>
    <w:rsid w:val="004A4B57"/>
    <w:rsid w:val="004A63FA"/>
    <w:rsid w:val="004B0272"/>
    <w:rsid w:val="004B0465"/>
    <w:rsid w:val="004B2701"/>
    <w:rsid w:val="004B2E1B"/>
    <w:rsid w:val="004B3E93"/>
    <w:rsid w:val="004B4460"/>
    <w:rsid w:val="004C1FBC"/>
    <w:rsid w:val="004C3F1D"/>
    <w:rsid w:val="004C458D"/>
    <w:rsid w:val="004C7556"/>
    <w:rsid w:val="004C7E9D"/>
    <w:rsid w:val="004C7F67"/>
    <w:rsid w:val="004D076D"/>
    <w:rsid w:val="004D0EF1"/>
    <w:rsid w:val="004D1170"/>
    <w:rsid w:val="004D125A"/>
    <w:rsid w:val="004D189E"/>
    <w:rsid w:val="004D2253"/>
    <w:rsid w:val="004D4406"/>
    <w:rsid w:val="004D7C42"/>
    <w:rsid w:val="004E0465"/>
    <w:rsid w:val="004E127B"/>
    <w:rsid w:val="004E1C0A"/>
    <w:rsid w:val="004E3014"/>
    <w:rsid w:val="004E30C5"/>
    <w:rsid w:val="004E4AA5"/>
    <w:rsid w:val="004E4AEE"/>
    <w:rsid w:val="004E59E3"/>
    <w:rsid w:val="004E67C0"/>
    <w:rsid w:val="004F391A"/>
    <w:rsid w:val="004F3CFB"/>
    <w:rsid w:val="004F6456"/>
    <w:rsid w:val="004F696E"/>
    <w:rsid w:val="004F6C71"/>
    <w:rsid w:val="00501139"/>
    <w:rsid w:val="00502991"/>
    <w:rsid w:val="00502F0C"/>
    <w:rsid w:val="0050363E"/>
    <w:rsid w:val="005039BC"/>
    <w:rsid w:val="005043BB"/>
    <w:rsid w:val="00504A3D"/>
    <w:rsid w:val="00505767"/>
    <w:rsid w:val="005073F0"/>
    <w:rsid w:val="00510A7B"/>
    <w:rsid w:val="00512F6E"/>
    <w:rsid w:val="00513038"/>
    <w:rsid w:val="00514174"/>
    <w:rsid w:val="00516088"/>
    <w:rsid w:val="00516B0B"/>
    <w:rsid w:val="005207F4"/>
    <w:rsid w:val="005220EC"/>
    <w:rsid w:val="00523F95"/>
    <w:rsid w:val="00524D65"/>
    <w:rsid w:val="00525B16"/>
    <w:rsid w:val="00533D04"/>
    <w:rsid w:val="00534804"/>
    <w:rsid w:val="00534BDF"/>
    <w:rsid w:val="005354EA"/>
    <w:rsid w:val="00535EC4"/>
    <w:rsid w:val="00535ED9"/>
    <w:rsid w:val="0053692B"/>
    <w:rsid w:val="00541853"/>
    <w:rsid w:val="00543BDA"/>
    <w:rsid w:val="005441CC"/>
    <w:rsid w:val="00545826"/>
    <w:rsid w:val="005479DA"/>
    <w:rsid w:val="00547BCC"/>
    <w:rsid w:val="0055013B"/>
    <w:rsid w:val="00551F6F"/>
    <w:rsid w:val="005527F0"/>
    <w:rsid w:val="00555044"/>
    <w:rsid w:val="00561475"/>
    <w:rsid w:val="0056487B"/>
    <w:rsid w:val="00564FB9"/>
    <w:rsid w:val="00573D9E"/>
    <w:rsid w:val="005801E3"/>
    <w:rsid w:val="00581802"/>
    <w:rsid w:val="005836A8"/>
    <w:rsid w:val="0058409C"/>
    <w:rsid w:val="00584262"/>
    <w:rsid w:val="00586630"/>
    <w:rsid w:val="00587ADD"/>
    <w:rsid w:val="00593544"/>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1E63"/>
    <w:rsid w:val="005D4171"/>
    <w:rsid w:val="005D6A95"/>
    <w:rsid w:val="005D6B2C"/>
    <w:rsid w:val="005D6D9C"/>
    <w:rsid w:val="005E2335"/>
    <w:rsid w:val="005E34CA"/>
    <w:rsid w:val="005E3C18"/>
    <w:rsid w:val="005E6318"/>
    <w:rsid w:val="005E6812"/>
    <w:rsid w:val="005E7829"/>
    <w:rsid w:val="005E7881"/>
    <w:rsid w:val="005E78E0"/>
    <w:rsid w:val="005F0D9C"/>
    <w:rsid w:val="005F284E"/>
    <w:rsid w:val="006015CE"/>
    <w:rsid w:val="00604784"/>
    <w:rsid w:val="00606419"/>
    <w:rsid w:val="00607D29"/>
    <w:rsid w:val="00612952"/>
    <w:rsid w:val="00614CC1"/>
    <w:rsid w:val="00615A9D"/>
    <w:rsid w:val="00616DCE"/>
    <w:rsid w:val="00617387"/>
    <w:rsid w:val="006252D8"/>
    <w:rsid w:val="006259BC"/>
    <w:rsid w:val="0062636B"/>
    <w:rsid w:val="00632182"/>
    <w:rsid w:val="00632AE0"/>
    <w:rsid w:val="00633861"/>
    <w:rsid w:val="00633C17"/>
    <w:rsid w:val="006360BD"/>
    <w:rsid w:val="00636E3E"/>
    <w:rsid w:val="006379F7"/>
    <w:rsid w:val="00637E4D"/>
    <w:rsid w:val="00640620"/>
    <w:rsid w:val="00641A1F"/>
    <w:rsid w:val="0064528D"/>
    <w:rsid w:val="00645904"/>
    <w:rsid w:val="00651ACB"/>
    <w:rsid w:val="00651C47"/>
    <w:rsid w:val="00652AB2"/>
    <w:rsid w:val="00654EC0"/>
    <w:rsid w:val="0065525B"/>
    <w:rsid w:val="00655D4F"/>
    <w:rsid w:val="006640E5"/>
    <w:rsid w:val="006646F1"/>
    <w:rsid w:val="00664929"/>
    <w:rsid w:val="00664F62"/>
    <w:rsid w:val="006655E1"/>
    <w:rsid w:val="00672060"/>
    <w:rsid w:val="00672BFD"/>
    <w:rsid w:val="006770F4"/>
    <w:rsid w:val="00677A84"/>
    <w:rsid w:val="0068026D"/>
    <w:rsid w:val="00680A27"/>
    <w:rsid w:val="006816A4"/>
    <w:rsid w:val="006819B8"/>
    <w:rsid w:val="00682EB3"/>
    <w:rsid w:val="006840A6"/>
    <w:rsid w:val="006850CD"/>
    <w:rsid w:val="00685AAB"/>
    <w:rsid w:val="006A07AA"/>
    <w:rsid w:val="006A25E5"/>
    <w:rsid w:val="006A2B46"/>
    <w:rsid w:val="006A336D"/>
    <w:rsid w:val="006A37B9"/>
    <w:rsid w:val="006B10DD"/>
    <w:rsid w:val="006B2672"/>
    <w:rsid w:val="006B54BF"/>
    <w:rsid w:val="006B5F44"/>
    <w:rsid w:val="006B5F90"/>
    <w:rsid w:val="006B62E4"/>
    <w:rsid w:val="006B7562"/>
    <w:rsid w:val="006C1BBA"/>
    <w:rsid w:val="006C2079"/>
    <w:rsid w:val="006C317D"/>
    <w:rsid w:val="006C463A"/>
    <w:rsid w:val="006C5A62"/>
    <w:rsid w:val="006C5D68"/>
    <w:rsid w:val="006C6976"/>
    <w:rsid w:val="006C6DD0"/>
    <w:rsid w:val="006D04EA"/>
    <w:rsid w:val="006D16C4"/>
    <w:rsid w:val="006D3E96"/>
    <w:rsid w:val="006D4515"/>
    <w:rsid w:val="006D4BB1"/>
    <w:rsid w:val="006D5782"/>
    <w:rsid w:val="006D6593"/>
    <w:rsid w:val="006D686E"/>
    <w:rsid w:val="006F03A8"/>
    <w:rsid w:val="006F126C"/>
    <w:rsid w:val="006F2ACA"/>
    <w:rsid w:val="006F2ADC"/>
    <w:rsid w:val="006F2BFE"/>
    <w:rsid w:val="006F2F57"/>
    <w:rsid w:val="006F31E9"/>
    <w:rsid w:val="006F56E5"/>
    <w:rsid w:val="006F6284"/>
    <w:rsid w:val="007002C5"/>
    <w:rsid w:val="0070348B"/>
    <w:rsid w:val="00704387"/>
    <w:rsid w:val="00704CDE"/>
    <w:rsid w:val="00707669"/>
    <w:rsid w:val="00711CBA"/>
    <w:rsid w:val="00711FB5"/>
    <w:rsid w:val="00712A01"/>
    <w:rsid w:val="00714F58"/>
    <w:rsid w:val="00715A32"/>
    <w:rsid w:val="00722FBF"/>
    <w:rsid w:val="00722FC2"/>
    <w:rsid w:val="007230AA"/>
    <w:rsid w:val="00725263"/>
    <w:rsid w:val="00725949"/>
    <w:rsid w:val="00725BEF"/>
    <w:rsid w:val="00727FA2"/>
    <w:rsid w:val="007322D9"/>
    <w:rsid w:val="00732BC0"/>
    <w:rsid w:val="00732F4E"/>
    <w:rsid w:val="0073720F"/>
    <w:rsid w:val="00737796"/>
    <w:rsid w:val="00740011"/>
    <w:rsid w:val="0074165C"/>
    <w:rsid w:val="00742C35"/>
    <w:rsid w:val="007432CA"/>
    <w:rsid w:val="007439EB"/>
    <w:rsid w:val="00743CB4"/>
    <w:rsid w:val="00743F0A"/>
    <w:rsid w:val="007443FE"/>
    <w:rsid w:val="007444E8"/>
    <w:rsid w:val="0074548E"/>
    <w:rsid w:val="00745773"/>
    <w:rsid w:val="00746800"/>
    <w:rsid w:val="00747CF0"/>
    <w:rsid w:val="007501A8"/>
    <w:rsid w:val="00750EE1"/>
    <w:rsid w:val="007515E7"/>
    <w:rsid w:val="00752B4D"/>
    <w:rsid w:val="00755402"/>
    <w:rsid w:val="00756B26"/>
    <w:rsid w:val="00756EDF"/>
    <w:rsid w:val="00765C43"/>
    <w:rsid w:val="00765EFB"/>
    <w:rsid w:val="007671CA"/>
    <w:rsid w:val="0076744F"/>
    <w:rsid w:val="00767C61"/>
    <w:rsid w:val="0077008A"/>
    <w:rsid w:val="00773C1F"/>
    <w:rsid w:val="007746BD"/>
    <w:rsid w:val="00774D36"/>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2CD6"/>
    <w:rsid w:val="007B36DF"/>
    <w:rsid w:val="007B5A3D"/>
    <w:rsid w:val="007B5B95"/>
    <w:rsid w:val="007B68EA"/>
    <w:rsid w:val="007B7453"/>
    <w:rsid w:val="007C2D89"/>
    <w:rsid w:val="007C4593"/>
    <w:rsid w:val="007C5309"/>
    <w:rsid w:val="007C6069"/>
    <w:rsid w:val="007D06C4"/>
    <w:rsid w:val="007D1171"/>
    <w:rsid w:val="007D1352"/>
    <w:rsid w:val="007D2508"/>
    <w:rsid w:val="007D346A"/>
    <w:rsid w:val="007D6518"/>
    <w:rsid w:val="007D6ED0"/>
    <w:rsid w:val="007D76BD"/>
    <w:rsid w:val="007D7FCC"/>
    <w:rsid w:val="007E0BF1"/>
    <w:rsid w:val="007E0D02"/>
    <w:rsid w:val="007E258B"/>
    <w:rsid w:val="007E304C"/>
    <w:rsid w:val="007F0ED8"/>
    <w:rsid w:val="007F0F63"/>
    <w:rsid w:val="007F3748"/>
    <w:rsid w:val="007F75CE"/>
    <w:rsid w:val="008013A4"/>
    <w:rsid w:val="008027CE"/>
    <w:rsid w:val="00802F42"/>
    <w:rsid w:val="00804383"/>
    <w:rsid w:val="00804BB7"/>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60F"/>
    <w:rsid w:val="0083577C"/>
    <w:rsid w:val="008373D3"/>
    <w:rsid w:val="00840617"/>
    <w:rsid w:val="00842A47"/>
    <w:rsid w:val="00843C13"/>
    <w:rsid w:val="008454F8"/>
    <w:rsid w:val="0084695B"/>
    <w:rsid w:val="0085173A"/>
    <w:rsid w:val="00854343"/>
    <w:rsid w:val="00856811"/>
    <w:rsid w:val="00860297"/>
    <w:rsid w:val="008603CE"/>
    <w:rsid w:val="008620FC"/>
    <w:rsid w:val="008627A5"/>
    <w:rsid w:val="00863E05"/>
    <w:rsid w:val="0086431E"/>
    <w:rsid w:val="00865ACA"/>
    <w:rsid w:val="00865D28"/>
    <w:rsid w:val="00865F85"/>
    <w:rsid w:val="00867C10"/>
    <w:rsid w:val="00870439"/>
    <w:rsid w:val="00870DA1"/>
    <w:rsid w:val="00883F93"/>
    <w:rsid w:val="00884DB3"/>
    <w:rsid w:val="00885A9D"/>
    <w:rsid w:val="008864F6"/>
    <w:rsid w:val="0089049D"/>
    <w:rsid w:val="008928C9"/>
    <w:rsid w:val="008938DC"/>
    <w:rsid w:val="00893D68"/>
    <w:rsid w:val="00893FD1"/>
    <w:rsid w:val="00894836"/>
    <w:rsid w:val="00895172"/>
    <w:rsid w:val="00895680"/>
    <w:rsid w:val="00896DFF"/>
    <w:rsid w:val="0089762C"/>
    <w:rsid w:val="008A1893"/>
    <w:rsid w:val="008A6A78"/>
    <w:rsid w:val="008A769A"/>
    <w:rsid w:val="008B0C9C"/>
    <w:rsid w:val="008B166D"/>
    <w:rsid w:val="008B17F4"/>
    <w:rsid w:val="008B1C58"/>
    <w:rsid w:val="008B3615"/>
    <w:rsid w:val="008B4AC4"/>
    <w:rsid w:val="008B50C8"/>
    <w:rsid w:val="008B5281"/>
    <w:rsid w:val="008B7E05"/>
    <w:rsid w:val="008C1797"/>
    <w:rsid w:val="008C219C"/>
    <w:rsid w:val="008C475E"/>
    <w:rsid w:val="008C4767"/>
    <w:rsid w:val="008C619A"/>
    <w:rsid w:val="008D0CE8"/>
    <w:rsid w:val="008D2D1D"/>
    <w:rsid w:val="008D453D"/>
    <w:rsid w:val="008D53AD"/>
    <w:rsid w:val="008D562B"/>
    <w:rsid w:val="008D5733"/>
    <w:rsid w:val="008D622B"/>
    <w:rsid w:val="008D666C"/>
    <w:rsid w:val="008D7B54"/>
    <w:rsid w:val="008E0269"/>
    <w:rsid w:val="008E0C9D"/>
    <w:rsid w:val="008E1648"/>
    <w:rsid w:val="008E1B3E"/>
    <w:rsid w:val="008E2319"/>
    <w:rsid w:val="008E4BB6"/>
    <w:rsid w:val="008E5518"/>
    <w:rsid w:val="008E6A84"/>
    <w:rsid w:val="008F0CDC"/>
    <w:rsid w:val="008F17A3"/>
    <w:rsid w:val="008F1ED3"/>
    <w:rsid w:val="008F4C29"/>
    <w:rsid w:val="008F58DC"/>
    <w:rsid w:val="008F5C0C"/>
    <w:rsid w:val="008F70BD"/>
    <w:rsid w:val="008F788F"/>
    <w:rsid w:val="008F7EA2"/>
    <w:rsid w:val="00902722"/>
    <w:rsid w:val="009027BC"/>
    <w:rsid w:val="009041CC"/>
    <w:rsid w:val="009062E6"/>
    <w:rsid w:val="00911AF6"/>
    <w:rsid w:val="00911BE5"/>
    <w:rsid w:val="00913CA9"/>
    <w:rsid w:val="009145AE"/>
    <w:rsid w:val="009146CE"/>
    <w:rsid w:val="00914CA7"/>
    <w:rsid w:val="00915C3E"/>
    <w:rsid w:val="009161A8"/>
    <w:rsid w:val="009245F5"/>
    <w:rsid w:val="009249EC"/>
    <w:rsid w:val="009273B3"/>
    <w:rsid w:val="009305B5"/>
    <w:rsid w:val="00941FA3"/>
    <w:rsid w:val="009429D5"/>
    <w:rsid w:val="00942BF1"/>
    <w:rsid w:val="00943E72"/>
    <w:rsid w:val="00945180"/>
    <w:rsid w:val="00945428"/>
    <w:rsid w:val="0094607B"/>
    <w:rsid w:val="00953604"/>
    <w:rsid w:val="0095496B"/>
    <w:rsid w:val="009610DC"/>
    <w:rsid w:val="00961490"/>
    <w:rsid w:val="0096381A"/>
    <w:rsid w:val="00965561"/>
    <w:rsid w:val="00965E04"/>
    <w:rsid w:val="009674AD"/>
    <w:rsid w:val="00970CDC"/>
    <w:rsid w:val="00977010"/>
    <w:rsid w:val="00977D02"/>
    <w:rsid w:val="009809BB"/>
    <w:rsid w:val="0098364B"/>
    <w:rsid w:val="009911AF"/>
    <w:rsid w:val="00991875"/>
    <w:rsid w:val="00991F92"/>
    <w:rsid w:val="00992985"/>
    <w:rsid w:val="00993889"/>
    <w:rsid w:val="00994782"/>
    <w:rsid w:val="0099551B"/>
    <w:rsid w:val="00997BF1"/>
    <w:rsid w:val="009A089C"/>
    <w:rsid w:val="009A1147"/>
    <w:rsid w:val="009A118E"/>
    <w:rsid w:val="009A21CD"/>
    <w:rsid w:val="009A278C"/>
    <w:rsid w:val="009A2BC2"/>
    <w:rsid w:val="009A42C1"/>
    <w:rsid w:val="009A5429"/>
    <w:rsid w:val="009A72AD"/>
    <w:rsid w:val="009B09E0"/>
    <w:rsid w:val="009B0BC5"/>
    <w:rsid w:val="009B1247"/>
    <w:rsid w:val="009B6029"/>
    <w:rsid w:val="009B6464"/>
    <w:rsid w:val="009B6971"/>
    <w:rsid w:val="009C27F1"/>
    <w:rsid w:val="009C3152"/>
    <w:rsid w:val="009C4CFA"/>
    <w:rsid w:val="009C5070"/>
    <w:rsid w:val="009D112C"/>
    <w:rsid w:val="009D47FA"/>
    <w:rsid w:val="009D50D2"/>
    <w:rsid w:val="009D6BCA"/>
    <w:rsid w:val="009D72B9"/>
    <w:rsid w:val="009E0F62"/>
    <w:rsid w:val="009E1848"/>
    <w:rsid w:val="009E2966"/>
    <w:rsid w:val="009E4A58"/>
    <w:rsid w:val="009E5A2D"/>
    <w:rsid w:val="009E5AB2"/>
    <w:rsid w:val="009E6219"/>
    <w:rsid w:val="009F03B3"/>
    <w:rsid w:val="00A01757"/>
    <w:rsid w:val="00A028C0"/>
    <w:rsid w:val="00A02BAE"/>
    <w:rsid w:val="00A05AA6"/>
    <w:rsid w:val="00A06A6B"/>
    <w:rsid w:val="00A07E47"/>
    <w:rsid w:val="00A129D0"/>
    <w:rsid w:val="00A12C33"/>
    <w:rsid w:val="00A138BA"/>
    <w:rsid w:val="00A14C8E"/>
    <w:rsid w:val="00A153D9"/>
    <w:rsid w:val="00A15F09"/>
    <w:rsid w:val="00A169B6"/>
    <w:rsid w:val="00A20AC0"/>
    <w:rsid w:val="00A2271D"/>
    <w:rsid w:val="00A237D5"/>
    <w:rsid w:val="00A30EFC"/>
    <w:rsid w:val="00A31984"/>
    <w:rsid w:val="00A32D73"/>
    <w:rsid w:val="00A3367B"/>
    <w:rsid w:val="00A3597D"/>
    <w:rsid w:val="00A4006C"/>
    <w:rsid w:val="00A40091"/>
    <w:rsid w:val="00A4030F"/>
    <w:rsid w:val="00A41C79"/>
    <w:rsid w:val="00A41CB5"/>
    <w:rsid w:val="00A42CDF"/>
    <w:rsid w:val="00A4307B"/>
    <w:rsid w:val="00A4452E"/>
    <w:rsid w:val="00A4472C"/>
    <w:rsid w:val="00A44E69"/>
    <w:rsid w:val="00A4661E"/>
    <w:rsid w:val="00A529EB"/>
    <w:rsid w:val="00A53D04"/>
    <w:rsid w:val="00A55BD6"/>
    <w:rsid w:val="00A55D50"/>
    <w:rsid w:val="00A57142"/>
    <w:rsid w:val="00A61D48"/>
    <w:rsid w:val="00A648CD"/>
    <w:rsid w:val="00A6537A"/>
    <w:rsid w:val="00A67866"/>
    <w:rsid w:val="00A70B07"/>
    <w:rsid w:val="00A723F8"/>
    <w:rsid w:val="00A77CCB"/>
    <w:rsid w:val="00A83D8D"/>
    <w:rsid w:val="00A83E19"/>
    <w:rsid w:val="00A8446B"/>
    <w:rsid w:val="00A8473F"/>
    <w:rsid w:val="00A862D6"/>
    <w:rsid w:val="00A8715E"/>
    <w:rsid w:val="00A87647"/>
    <w:rsid w:val="00A9295B"/>
    <w:rsid w:val="00A93B09"/>
    <w:rsid w:val="00A952D7"/>
    <w:rsid w:val="00A963F7"/>
    <w:rsid w:val="00A96AD8"/>
    <w:rsid w:val="00AA052C"/>
    <w:rsid w:val="00AA1E45"/>
    <w:rsid w:val="00AA30E6"/>
    <w:rsid w:val="00AA4286"/>
    <w:rsid w:val="00AA456B"/>
    <w:rsid w:val="00AA57F5"/>
    <w:rsid w:val="00AA672E"/>
    <w:rsid w:val="00AA6EC9"/>
    <w:rsid w:val="00AB3EDA"/>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D5D89"/>
    <w:rsid w:val="00AD63A7"/>
    <w:rsid w:val="00AE070A"/>
    <w:rsid w:val="00AE101C"/>
    <w:rsid w:val="00AE232F"/>
    <w:rsid w:val="00AE5EB4"/>
    <w:rsid w:val="00AF06FE"/>
    <w:rsid w:val="00AF0C18"/>
    <w:rsid w:val="00AF47C5"/>
    <w:rsid w:val="00AF5398"/>
    <w:rsid w:val="00B049AF"/>
    <w:rsid w:val="00B07242"/>
    <w:rsid w:val="00B10534"/>
    <w:rsid w:val="00B113DB"/>
    <w:rsid w:val="00B11D8A"/>
    <w:rsid w:val="00B12981"/>
    <w:rsid w:val="00B147DD"/>
    <w:rsid w:val="00B156FD"/>
    <w:rsid w:val="00B1669D"/>
    <w:rsid w:val="00B21F61"/>
    <w:rsid w:val="00B261F1"/>
    <w:rsid w:val="00B265BC"/>
    <w:rsid w:val="00B31FB1"/>
    <w:rsid w:val="00B33952"/>
    <w:rsid w:val="00B33C5E"/>
    <w:rsid w:val="00B342F4"/>
    <w:rsid w:val="00B34369"/>
    <w:rsid w:val="00B34DC2"/>
    <w:rsid w:val="00B378E5"/>
    <w:rsid w:val="00B4346D"/>
    <w:rsid w:val="00B43C20"/>
    <w:rsid w:val="00B440F4"/>
    <w:rsid w:val="00B44432"/>
    <w:rsid w:val="00B447A5"/>
    <w:rsid w:val="00B4654C"/>
    <w:rsid w:val="00B47293"/>
    <w:rsid w:val="00B50E50"/>
    <w:rsid w:val="00B52120"/>
    <w:rsid w:val="00B54ABC"/>
    <w:rsid w:val="00B56FBE"/>
    <w:rsid w:val="00B62B58"/>
    <w:rsid w:val="00B65149"/>
    <w:rsid w:val="00B66567"/>
    <w:rsid w:val="00B66F52"/>
    <w:rsid w:val="00B66FE5"/>
    <w:rsid w:val="00B72880"/>
    <w:rsid w:val="00B758BF"/>
    <w:rsid w:val="00B81E2C"/>
    <w:rsid w:val="00B827A6"/>
    <w:rsid w:val="00B831CE"/>
    <w:rsid w:val="00B86677"/>
    <w:rsid w:val="00B87131"/>
    <w:rsid w:val="00B939B1"/>
    <w:rsid w:val="00B95DCF"/>
    <w:rsid w:val="00B96D40"/>
    <w:rsid w:val="00B97386"/>
    <w:rsid w:val="00B978DB"/>
    <w:rsid w:val="00BA263B"/>
    <w:rsid w:val="00BA42B2"/>
    <w:rsid w:val="00BA58D4"/>
    <w:rsid w:val="00BA5B9E"/>
    <w:rsid w:val="00BA5CBA"/>
    <w:rsid w:val="00BA7C9A"/>
    <w:rsid w:val="00BB5F8F"/>
    <w:rsid w:val="00BB657A"/>
    <w:rsid w:val="00BC1A4E"/>
    <w:rsid w:val="00BC5DC7"/>
    <w:rsid w:val="00BC6B41"/>
    <w:rsid w:val="00BC6B8B"/>
    <w:rsid w:val="00BC73D8"/>
    <w:rsid w:val="00BD52D7"/>
    <w:rsid w:val="00BD5AD2"/>
    <w:rsid w:val="00BE22F3"/>
    <w:rsid w:val="00BE4596"/>
    <w:rsid w:val="00BE5B52"/>
    <w:rsid w:val="00BE7B8D"/>
    <w:rsid w:val="00BF0993"/>
    <w:rsid w:val="00BF10A9"/>
    <w:rsid w:val="00BF1703"/>
    <w:rsid w:val="00BF231C"/>
    <w:rsid w:val="00BF51E5"/>
    <w:rsid w:val="00BF74A6"/>
    <w:rsid w:val="00BF7718"/>
    <w:rsid w:val="00C013AD"/>
    <w:rsid w:val="00C020FB"/>
    <w:rsid w:val="00C04904"/>
    <w:rsid w:val="00C056B3"/>
    <w:rsid w:val="00C103E5"/>
    <w:rsid w:val="00C13319"/>
    <w:rsid w:val="00C13EE9"/>
    <w:rsid w:val="00C21540"/>
    <w:rsid w:val="00C21906"/>
    <w:rsid w:val="00C21BFA"/>
    <w:rsid w:val="00C24C8D"/>
    <w:rsid w:val="00C25FE2"/>
    <w:rsid w:val="00C260F4"/>
    <w:rsid w:val="00C26B53"/>
    <w:rsid w:val="00C279B2"/>
    <w:rsid w:val="00C33E50"/>
    <w:rsid w:val="00C34C20"/>
    <w:rsid w:val="00C35A3E"/>
    <w:rsid w:val="00C42130"/>
    <w:rsid w:val="00C423A4"/>
    <w:rsid w:val="00C44BF5"/>
    <w:rsid w:val="00C50A72"/>
    <w:rsid w:val="00C5130C"/>
    <w:rsid w:val="00C521D6"/>
    <w:rsid w:val="00C55232"/>
    <w:rsid w:val="00C553A4"/>
    <w:rsid w:val="00C55A06"/>
    <w:rsid w:val="00C55D03"/>
    <w:rsid w:val="00C601BC"/>
    <w:rsid w:val="00C6329F"/>
    <w:rsid w:val="00C63340"/>
    <w:rsid w:val="00C643F9"/>
    <w:rsid w:val="00C64E95"/>
    <w:rsid w:val="00C67DFD"/>
    <w:rsid w:val="00C71372"/>
    <w:rsid w:val="00C72410"/>
    <w:rsid w:val="00C7287F"/>
    <w:rsid w:val="00C76D63"/>
    <w:rsid w:val="00C80CB8"/>
    <w:rsid w:val="00C819F8"/>
    <w:rsid w:val="00C8248C"/>
    <w:rsid w:val="00C84E33"/>
    <w:rsid w:val="00C86D6F"/>
    <w:rsid w:val="00C905FC"/>
    <w:rsid w:val="00C92D03"/>
    <w:rsid w:val="00C9319C"/>
    <w:rsid w:val="00C9435D"/>
    <w:rsid w:val="00C96741"/>
    <w:rsid w:val="00CA2D1B"/>
    <w:rsid w:val="00CA336A"/>
    <w:rsid w:val="00CA662A"/>
    <w:rsid w:val="00CA7AFD"/>
    <w:rsid w:val="00CA7C3C"/>
    <w:rsid w:val="00CB0189"/>
    <w:rsid w:val="00CB0BA2"/>
    <w:rsid w:val="00CB1A42"/>
    <w:rsid w:val="00CB1B0C"/>
    <w:rsid w:val="00CB2C0B"/>
    <w:rsid w:val="00CB4843"/>
    <w:rsid w:val="00CB517D"/>
    <w:rsid w:val="00CC038D"/>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EEF"/>
    <w:rsid w:val="00CD704F"/>
    <w:rsid w:val="00CE0C4F"/>
    <w:rsid w:val="00CE30EA"/>
    <w:rsid w:val="00CF048A"/>
    <w:rsid w:val="00CF155A"/>
    <w:rsid w:val="00CF2947"/>
    <w:rsid w:val="00CF4E76"/>
    <w:rsid w:val="00CF686F"/>
    <w:rsid w:val="00CF6E60"/>
    <w:rsid w:val="00CF7BCA"/>
    <w:rsid w:val="00D008FD"/>
    <w:rsid w:val="00D0321C"/>
    <w:rsid w:val="00D035EC"/>
    <w:rsid w:val="00D06AB1"/>
    <w:rsid w:val="00D072ED"/>
    <w:rsid w:val="00D07A16"/>
    <w:rsid w:val="00D1067E"/>
    <w:rsid w:val="00D10F50"/>
    <w:rsid w:val="00D11272"/>
    <w:rsid w:val="00D12471"/>
    <w:rsid w:val="00D126F5"/>
    <w:rsid w:val="00D1489E"/>
    <w:rsid w:val="00D20737"/>
    <w:rsid w:val="00D21E81"/>
    <w:rsid w:val="00D223DE"/>
    <w:rsid w:val="00D25E37"/>
    <w:rsid w:val="00D2661A"/>
    <w:rsid w:val="00D27582"/>
    <w:rsid w:val="00D27973"/>
    <w:rsid w:val="00D32719"/>
    <w:rsid w:val="00D33333"/>
    <w:rsid w:val="00D34CB7"/>
    <w:rsid w:val="00D352A2"/>
    <w:rsid w:val="00D4162B"/>
    <w:rsid w:val="00D4514F"/>
    <w:rsid w:val="00D451E2"/>
    <w:rsid w:val="00D45E89"/>
    <w:rsid w:val="00D45E8D"/>
    <w:rsid w:val="00D466AE"/>
    <w:rsid w:val="00D4734F"/>
    <w:rsid w:val="00D51BF3"/>
    <w:rsid w:val="00D54B98"/>
    <w:rsid w:val="00D56D85"/>
    <w:rsid w:val="00D63487"/>
    <w:rsid w:val="00D66846"/>
    <w:rsid w:val="00D675FB"/>
    <w:rsid w:val="00D71F25"/>
    <w:rsid w:val="00D77031"/>
    <w:rsid w:val="00D81136"/>
    <w:rsid w:val="00D84941"/>
    <w:rsid w:val="00D84FA1"/>
    <w:rsid w:val="00D851F0"/>
    <w:rsid w:val="00D86DB7"/>
    <w:rsid w:val="00D9060C"/>
    <w:rsid w:val="00D926D0"/>
    <w:rsid w:val="00D93030"/>
    <w:rsid w:val="00D950E1"/>
    <w:rsid w:val="00D952A6"/>
    <w:rsid w:val="00D97F99"/>
    <w:rsid w:val="00DA1E08"/>
    <w:rsid w:val="00DA24F8"/>
    <w:rsid w:val="00DA28E8"/>
    <w:rsid w:val="00DA38D3"/>
    <w:rsid w:val="00DA3932"/>
    <w:rsid w:val="00DA3AFC"/>
    <w:rsid w:val="00DA64F8"/>
    <w:rsid w:val="00DA6C15"/>
    <w:rsid w:val="00DB38EE"/>
    <w:rsid w:val="00DB498B"/>
    <w:rsid w:val="00DB66CA"/>
    <w:rsid w:val="00DB6BCA"/>
    <w:rsid w:val="00DB7113"/>
    <w:rsid w:val="00DC0321"/>
    <w:rsid w:val="00DC3067"/>
    <w:rsid w:val="00DC370B"/>
    <w:rsid w:val="00DC58AD"/>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4A10"/>
    <w:rsid w:val="00E01138"/>
    <w:rsid w:val="00E02DFB"/>
    <w:rsid w:val="00E030F9"/>
    <w:rsid w:val="00E0311A"/>
    <w:rsid w:val="00E03138"/>
    <w:rsid w:val="00E06404"/>
    <w:rsid w:val="00E11A85"/>
    <w:rsid w:val="00E12495"/>
    <w:rsid w:val="00E13486"/>
    <w:rsid w:val="00E15CCD"/>
    <w:rsid w:val="00E15D9E"/>
    <w:rsid w:val="00E202EF"/>
    <w:rsid w:val="00E210B5"/>
    <w:rsid w:val="00E221A9"/>
    <w:rsid w:val="00E2552F"/>
    <w:rsid w:val="00E3137A"/>
    <w:rsid w:val="00E32213"/>
    <w:rsid w:val="00E32CCF"/>
    <w:rsid w:val="00E33542"/>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2FF9"/>
    <w:rsid w:val="00E635D6"/>
    <w:rsid w:val="00E639BC"/>
    <w:rsid w:val="00E664CC"/>
    <w:rsid w:val="00E70388"/>
    <w:rsid w:val="00E70B15"/>
    <w:rsid w:val="00E70F92"/>
    <w:rsid w:val="00E74C54"/>
    <w:rsid w:val="00E77A03"/>
    <w:rsid w:val="00E822E8"/>
    <w:rsid w:val="00E82554"/>
    <w:rsid w:val="00E82606"/>
    <w:rsid w:val="00E846C8"/>
    <w:rsid w:val="00E84957"/>
    <w:rsid w:val="00E84A55"/>
    <w:rsid w:val="00E85BFF"/>
    <w:rsid w:val="00E87188"/>
    <w:rsid w:val="00E90391"/>
    <w:rsid w:val="00E906C2"/>
    <w:rsid w:val="00E9070B"/>
    <w:rsid w:val="00E918A6"/>
    <w:rsid w:val="00E9311F"/>
    <w:rsid w:val="00E934D1"/>
    <w:rsid w:val="00E94138"/>
    <w:rsid w:val="00E94AF0"/>
    <w:rsid w:val="00E95D13"/>
    <w:rsid w:val="00E95DD3"/>
    <w:rsid w:val="00E969D5"/>
    <w:rsid w:val="00EA58D1"/>
    <w:rsid w:val="00EA61BC"/>
    <w:rsid w:val="00EA681A"/>
    <w:rsid w:val="00EA735B"/>
    <w:rsid w:val="00EB1E69"/>
    <w:rsid w:val="00EB2086"/>
    <w:rsid w:val="00EB5EDF"/>
    <w:rsid w:val="00EB60FE"/>
    <w:rsid w:val="00EB74DB"/>
    <w:rsid w:val="00EC5359"/>
    <w:rsid w:val="00EC562A"/>
    <w:rsid w:val="00ED067A"/>
    <w:rsid w:val="00ED160B"/>
    <w:rsid w:val="00ED2B50"/>
    <w:rsid w:val="00EE0350"/>
    <w:rsid w:val="00EE0719"/>
    <w:rsid w:val="00EE0E80"/>
    <w:rsid w:val="00EE4585"/>
    <w:rsid w:val="00EE613F"/>
    <w:rsid w:val="00EE7295"/>
    <w:rsid w:val="00EE7869"/>
    <w:rsid w:val="00EF054A"/>
    <w:rsid w:val="00EF3235"/>
    <w:rsid w:val="00EF7E72"/>
    <w:rsid w:val="00F01542"/>
    <w:rsid w:val="00F06D37"/>
    <w:rsid w:val="00F07B9D"/>
    <w:rsid w:val="00F10926"/>
    <w:rsid w:val="00F11586"/>
    <w:rsid w:val="00F1183B"/>
    <w:rsid w:val="00F11C9F"/>
    <w:rsid w:val="00F12263"/>
    <w:rsid w:val="00F1409D"/>
    <w:rsid w:val="00F14214"/>
    <w:rsid w:val="00F157A9"/>
    <w:rsid w:val="00F25BB6"/>
    <w:rsid w:val="00F26B7E"/>
    <w:rsid w:val="00F27A3B"/>
    <w:rsid w:val="00F30BBE"/>
    <w:rsid w:val="00F33817"/>
    <w:rsid w:val="00F3447F"/>
    <w:rsid w:val="00F42048"/>
    <w:rsid w:val="00F420D5"/>
    <w:rsid w:val="00F451EA"/>
    <w:rsid w:val="00F45447"/>
    <w:rsid w:val="00F456C6"/>
    <w:rsid w:val="00F4577B"/>
    <w:rsid w:val="00F46496"/>
    <w:rsid w:val="00F474D0"/>
    <w:rsid w:val="00F50179"/>
    <w:rsid w:val="00F56511"/>
    <w:rsid w:val="00F6194E"/>
    <w:rsid w:val="00F623AC"/>
    <w:rsid w:val="00F623BC"/>
    <w:rsid w:val="00F6412A"/>
    <w:rsid w:val="00F65893"/>
    <w:rsid w:val="00F66A4A"/>
    <w:rsid w:val="00F71E22"/>
    <w:rsid w:val="00F72142"/>
    <w:rsid w:val="00F72AE7"/>
    <w:rsid w:val="00F76FC5"/>
    <w:rsid w:val="00F77C73"/>
    <w:rsid w:val="00F77D98"/>
    <w:rsid w:val="00F833BA"/>
    <w:rsid w:val="00F84D34"/>
    <w:rsid w:val="00F84FD0"/>
    <w:rsid w:val="00F859A8"/>
    <w:rsid w:val="00F9108B"/>
    <w:rsid w:val="00F91349"/>
    <w:rsid w:val="00F93A8A"/>
    <w:rsid w:val="00F95248"/>
    <w:rsid w:val="00F956A9"/>
    <w:rsid w:val="00F963ED"/>
    <w:rsid w:val="00F966CF"/>
    <w:rsid w:val="00F96CAE"/>
    <w:rsid w:val="00F97C99"/>
    <w:rsid w:val="00FA662D"/>
    <w:rsid w:val="00FA6730"/>
    <w:rsid w:val="00FA73B1"/>
    <w:rsid w:val="00FB0CB9"/>
    <w:rsid w:val="00FB45F1"/>
    <w:rsid w:val="00FB4A72"/>
    <w:rsid w:val="00FB548E"/>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C045AF"/>
    <w:rsid w:val="01E3513D"/>
    <w:rsid w:val="020C47C5"/>
    <w:rsid w:val="02EB05EB"/>
    <w:rsid w:val="03223A42"/>
    <w:rsid w:val="0381685A"/>
    <w:rsid w:val="04402469"/>
    <w:rsid w:val="0529160A"/>
    <w:rsid w:val="05345CA1"/>
    <w:rsid w:val="061439B5"/>
    <w:rsid w:val="06425AFA"/>
    <w:rsid w:val="07EB5840"/>
    <w:rsid w:val="0802146A"/>
    <w:rsid w:val="0A102AC3"/>
    <w:rsid w:val="0A445C67"/>
    <w:rsid w:val="0BA13F3D"/>
    <w:rsid w:val="0C9413AC"/>
    <w:rsid w:val="0C972E39"/>
    <w:rsid w:val="0E9F030B"/>
    <w:rsid w:val="0FEE3074"/>
    <w:rsid w:val="10070D5C"/>
    <w:rsid w:val="105A537A"/>
    <w:rsid w:val="10A87104"/>
    <w:rsid w:val="10BE10ED"/>
    <w:rsid w:val="11046769"/>
    <w:rsid w:val="110638BD"/>
    <w:rsid w:val="12303925"/>
    <w:rsid w:val="12A06CFD"/>
    <w:rsid w:val="136938F2"/>
    <w:rsid w:val="13824654"/>
    <w:rsid w:val="151E65FF"/>
    <w:rsid w:val="15906463"/>
    <w:rsid w:val="16AE5760"/>
    <w:rsid w:val="18E37943"/>
    <w:rsid w:val="19381975"/>
    <w:rsid w:val="193E101D"/>
    <w:rsid w:val="19BE5CBA"/>
    <w:rsid w:val="19CC4EE9"/>
    <w:rsid w:val="1A95310F"/>
    <w:rsid w:val="1AF83CAC"/>
    <w:rsid w:val="1AF916A0"/>
    <w:rsid w:val="1BAA6346"/>
    <w:rsid w:val="1CC07C9D"/>
    <w:rsid w:val="1D112BAF"/>
    <w:rsid w:val="1D311B2F"/>
    <w:rsid w:val="1E2B5ACE"/>
    <w:rsid w:val="1ED5336F"/>
    <w:rsid w:val="1F356A1F"/>
    <w:rsid w:val="1F6115C2"/>
    <w:rsid w:val="1F7312F5"/>
    <w:rsid w:val="208A4B48"/>
    <w:rsid w:val="20C64CA1"/>
    <w:rsid w:val="210963B5"/>
    <w:rsid w:val="212156C5"/>
    <w:rsid w:val="21675FC1"/>
    <w:rsid w:val="218A0000"/>
    <w:rsid w:val="21AA55D1"/>
    <w:rsid w:val="21BC6F83"/>
    <w:rsid w:val="21C57FF4"/>
    <w:rsid w:val="22327245"/>
    <w:rsid w:val="224D22D1"/>
    <w:rsid w:val="22E24152"/>
    <w:rsid w:val="23130E25"/>
    <w:rsid w:val="234A05BF"/>
    <w:rsid w:val="243E6375"/>
    <w:rsid w:val="24B93C4E"/>
    <w:rsid w:val="25CD42FA"/>
    <w:rsid w:val="26461511"/>
    <w:rsid w:val="26590D78"/>
    <w:rsid w:val="26884C38"/>
    <w:rsid w:val="26CA616E"/>
    <w:rsid w:val="26E061EA"/>
    <w:rsid w:val="28A26FB9"/>
    <w:rsid w:val="28DE28DC"/>
    <w:rsid w:val="28DF7A3C"/>
    <w:rsid w:val="293D6BFB"/>
    <w:rsid w:val="29C6209B"/>
    <w:rsid w:val="2A727DCD"/>
    <w:rsid w:val="2AE15CAC"/>
    <w:rsid w:val="2C8B4122"/>
    <w:rsid w:val="2CBC0A72"/>
    <w:rsid w:val="2E9D013C"/>
    <w:rsid w:val="2ED2428A"/>
    <w:rsid w:val="2EE249F8"/>
    <w:rsid w:val="2F9D1427"/>
    <w:rsid w:val="2FAB0637"/>
    <w:rsid w:val="31125C37"/>
    <w:rsid w:val="3148438F"/>
    <w:rsid w:val="32AB72CC"/>
    <w:rsid w:val="32AF05E8"/>
    <w:rsid w:val="337376BE"/>
    <w:rsid w:val="339E473B"/>
    <w:rsid w:val="33AA1077"/>
    <w:rsid w:val="348D2ADE"/>
    <w:rsid w:val="348F6779"/>
    <w:rsid w:val="36554E78"/>
    <w:rsid w:val="36A141E9"/>
    <w:rsid w:val="36C26992"/>
    <w:rsid w:val="3715609B"/>
    <w:rsid w:val="37172976"/>
    <w:rsid w:val="37427AD3"/>
    <w:rsid w:val="3744753A"/>
    <w:rsid w:val="3905700A"/>
    <w:rsid w:val="39581352"/>
    <w:rsid w:val="39B32F0A"/>
    <w:rsid w:val="39DD2D63"/>
    <w:rsid w:val="39FA28E7"/>
    <w:rsid w:val="3A9E14C4"/>
    <w:rsid w:val="3AB85F64"/>
    <w:rsid w:val="3BBA28F3"/>
    <w:rsid w:val="3C30117D"/>
    <w:rsid w:val="3C63058A"/>
    <w:rsid w:val="3C6D1A98"/>
    <w:rsid w:val="3D8806B8"/>
    <w:rsid w:val="3DE93CFB"/>
    <w:rsid w:val="4171639E"/>
    <w:rsid w:val="419C2008"/>
    <w:rsid w:val="42414979"/>
    <w:rsid w:val="42BC698B"/>
    <w:rsid w:val="42FF3C55"/>
    <w:rsid w:val="436A2C7F"/>
    <w:rsid w:val="443D58AA"/>
    <w:rsid w:val="44EC107E"/>
    <w:rsid w:val="4554734F"/>
    <w:rsid w:val="455F7AA2"/>
    <w:rsid w:val="466B221D"/>
    <w:rsid w:val="46ED7A5B"/>
    <w:rsid w:val="47357AE2"/>
    <w:rsid w:val="476D46F8"/>
    <w:rsid w:val="4A065692"/>
    <w:rsid w:val="4ADD7DE7"/>
    <w:rsid w:val="4C9B198F"/>
    <w:rsid w:val="4D1A0F3A"/>
    <w:rsid w:val="4D7F33D7"/>
    <w:rsid w:val="4DC4703C"/>
    <w:rsid w:val="4E4A563C"/>
    <w:rsid w:val="4E5A551C"/>
    <w:rsid w:val="4F707062"/>
    <w:rsid w:val="50C233E6"/>
    <w:rsid w:val="520B5239"/>
    <w:rsid w:val="528D3EA0"/>
    <w:rsid w:val="52A53D9C"/>
    <w:rsid w:val="52C14F7B"/>
    <w:rsid w:val="530879CB"/>
    <w:rsid w:val="5367649F"/>
    <w:rsid w:val="549945FD"/>
    <w:rsid w:val="55C0458D"/>
    <w:rsid w:val="581D7A74"/>
    <w:rsid w:val="582F1556"/>
    <w:rsid w:val="58626F75"/>
    <w:rsid w:val="59040E1A"/>
    <w:rsid w:val="5ADD2164"/>
    <w:rsid w:val="5AED75CE"/>
    <w:rsid w:val="5CE345F1"/>
    <w:rsid w:val="5CEB6393"/>
    <w:rsid w:val="5D1D2771"/>
    <w:rsid w:val="5D245401"/>
    <w:rsid w:val="5D437F7D"/>
    <w:rsid w:val="5D885CAF"/>
    <w:rsid w:val="5DB83D3A"/>
    <w:rsid w:val="5E2F0501"/>
    <w:rsid w:val="5F3D56E4"/>
    <w:rsid w:val="5F6C3F37"/>
    <w:rsid w:val="5F7F7267"/>
    <w:rsid w:val="5FA62C91"/>
    <w:rsid w:val="5FFD2DE6"/>
    <w:rsid w:val="6071121D"/>
    <w:rsid w:val="60714E01"/>
    <w:rsid w:val="61183586"/>
    <w:rsid w:val="620C169C"/>
    <w:rsid w:val="62436329"/>
    <w:rsid w:val="63185A08"/>
    <w:rsid w:val="63FA6361"/>
    <w:rsid w:val="64133A3F"/>
    <w:rsid w:val="64966BE4"/>
    <w:rsid w:val="64BE60D0"/>
    <w:rsid w:val="64FC0330"/>
    <w:rsid w:val="669A5598"/>
    <w:rsid w:val="66AF21DF"/>
    <w:rsid w:val="674343B1"/>
    <w:rsid w:val="69605A13"/>
    <w:rsid w:val="6AA71130"/>
    <w:rsid w:val="6C2B67AC"/>
    <w:rsid w:val="6C8D21E8"/>
    <w:rsid w:val="6CDC7AA6"/>
    <w:rsid w:val="6CED5B4D"/>
    <w:rsid w:val="6D362B1A"/>
    <w:rsid w:val="6D836174"/>
    <w:rsid w:val="6DE54546"/>
    <w:rsid w:val="6E7A23D4"/>
    <w:rsid w:val="6E881C94"/>
    <w:rsid w:val="6EB10C80"/>
    <w:rsid w:val="6ED822C4"/>
    <w:rsid w:val="70BB557F"/>
    <w:rsid w:val="70CB40BA"/>
    <w:rsid w:val="70F91212"/>
    <w:rsid w:val="71A65ADA"/>
    <w:rsid w:val="72154882"/>
    <w:rsid w:val="725D6F93"/>
    <w:rsid w:val="731A1328"/>
    <w:rsid w:val="73517C79"/>
    <w:rsid w:val="75703482"/>
    <w:rsid w:val="75AB6268"/>
    <w:rsid w:val="761C0F14"/>
    <w:rsid w:val="769E7B7B"/>
    <w:rsid w:val="77495D38"/>
    <w:rsid w:val="7750454F"/>
    <w:rsid w:val="77580FD1"/>
    <w:rsid w:val="78673F69"/>
    <w:rsid w:val="790C55F2"/>
    <w:rsid w:val="7A097A01"/>
    <w:rsid w:val="7AAA4D40"/>
    <w:rsid w:val="7B2C1BF9"/>
    <w:rsid w:val="7B6456BC"/>
    <w:rsid w:val="7BAE12FE"/>
    <w:rsid w:val="7BB56D42"/>
    <w:rsid w:val="7BBD1F88"/>
    <w:rsid w:val="7BEB1AB4"/>
    <w:rsid w:val="7C66738C"/>
    <w:rsid w:val="7C92745D"/>
    <w:rsid w:val="7CFD1A9F"/>
    <w:rsid w:val="7F817B02"/>
    <w:rsid w:val="EECFC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4">
    <w:name w:val="heading 1"/>
    <w:basedOn w:val="1"/>
    <w:next w:val="1"/>
    <w:link w:val="35"/>
    <w:qFormat/>
    <w:uiPriority w:val="0"/>
    <w:pPr>
      <w:keepNext/>
      <w:keepLines/>
      <w:spacing w:before="340" w:after="330" w:line="578" w:lineRule="auto"/>
      <w:outlineLvl w:val="0"/>
    </w:pPr>
    <w:rPr>
      <w:rFonts w:ascii="Times New Roman" w:hAnsi="Times New Roman"/>
      <w:b/>
      <w:bCs/>
      <w:kern w:val="44"/>
      <w:sz w:val="44"/>
      <w:szCs w:val="44"/>
    </w:rPr>
  </w:style>
  <w:style w:type="paragraph" w:styleId="5">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7"/>
    <w:qFormat/>
    <w:uiPriority w:val="0"/>
    <w:pPr>
      <w:keepNext/>
      <w:keepLines/>
      <w:spacing w:before="260" w:after="260" w:line="416" w:lineRule="auto"/>
      <w:outlineLvl w:val="2"/>
    </w:pPr>
    <w:rPr>
      <w:rFonts w:ascii="Times New Roman" w:hAnsi="Times New Roman"/>
      <w:b/>
      <w:bCs/>
      <w:sz w:val="32"/>
      <w:szCs w:val="32"/>
    </w:rPr>
  </w:style>
  <w:style w:type="paragraph" w:styleId="7">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39"/>
    <w:qFormat/>
    <w:uiPriority w:val="0"/>
    <w:pPr>
      <w:keepNext/>
      <w:keepLines/>
      <w:adjustRightInd/>
      <w:spacing w:before="280" w:after="290" w:line="376" w:lineRule="auto"/>
      <w:outlineLvl w:val="4"/>
    </w:pPr>
    <w:rPr>
      <w:rFonts w:ascii="Times New Roman" w:hAnsi="Times New Roman"/>
      <w:b/>
      <w:bCs/>
      <w:sz w:val="28"/>
      <w:szCs w:val="28"/>
    </w:rPr>
  </w:style>
  <w:style w:type="paragraph" w:styleId="9">
    <w:name w:val="heading 6"/>
    <w:basedOn w:val="1"/>
    <w:next w:val="1"/>
    <w:link w:val="40"/>
    <w:qFormat/>
    <w:uiPriority w:val="0"/>
    <w:pPr>
      <w:keepNext/>
      <w:keepLines/>
      <w:adjustRightInd/>
      <w:spacing w:before="240" w:after="64" w:line="320" w:lineRule="auto"/>
      <w:outlineLvl w:val="5"/>
    </w:pPr>
    <w:rPr>
      <w:rFonts w:ascii="Arial" w:hAnsi="Arial" w:eastAsia="黑体"/>
      <w:b/>
      <w:bCs/>
      <w:sz w:val="24"/>
      <w:szCs w:val="24"/>
    </w:rPr>
  </w:style>
  <w:style w:type="paragraph" w:styleId="10">
    <w:name w:val="heading 7"/>
    <w:basedOn w:val="1"/>
    <w:next w:val="1"/>
    <w:link w:val="41"/>
    <w:qFormat/>
    <w:uiPriority w:val="0"/>
    <w:pPr>
      <w:keepNext/>
      <w:keepLines/>
      <w:adjustRightInd/>
      <w:spacing w:before="240" w:after="64" w:line="320" w:lineRule="auto"/>
      <w:outlineLvl w:val="6"/>
    </w:pPr>
    <w:rPr>
      <w:rFonts w:ascii="Times New Roman" w:hAnsi="Times New Roman"/>
      <w:b/>
      <w:bCs/>
      <w:sz w:val="24"/>
      <w:szCs w:val="24"/>
    </w:rPr>
  </w:style>
  <w:style w:type="paragraph" w:styleId="11">
    <w:name w:val="heading 8"/>
    <w:basedOn w:val="1"/>
    <w:next w:val="1"/>
    <w:link w:val="42"/>
    <w:qFormat/>
    <w:uiPriority w:val="0"/>
    <w:pPr>
      <w:keepNext/>
      <w:keepLines/>
      <w:adjustRightInd/>
      <w:spacing w:before="240" w:after="64" w:line="320" w:lineRule="auto"/>
      <w:outlineLvl w:val="7"/>
    </w:pPr>
    <w:rPr>
      <w:rFonts w:ascii="Arial" w:hAnsi="Arial" w:eastAsia="黑体"/>
      <w:sz w:val="24"/>
      <w:szCs w:val="24"/>
    </w:rPr>
  </w:style>
  <w:style w:type="paragraph" w:styleId="12">
    <w:name w:val="heading 9"/>
    <w:basedOn w:val="1"/>
    <w:next w:val="1"/>
    <w:link w:val="43"/>
    <w:qFormat/>
    <w:uiPriority w:val="0"/>
    <w:pPr>
      <w:keepNext/>
      <w:keepLines/>
      <w:adjustRightInd/>
      <w:spacing w:before="240" w:after="64" w:line="320" w:lineRule="auto"/>
      <w:outlineLvl w:val="8"/>
    </w:pPr>
    <w:rPr>
      <w:rFonts w:ascii="Arial" w:hAnsi="Arial" w:eastAsia="黑体"/>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adjustRightInd/>
      <w:spacing w:line="240" w:lineRule="auto"/>
      <w:ind w:firstLine="420" w:firstLineChars="100"/>
    </w:pPr>
    <w:rPr>
      <w:szCs w:val="24"/>
    </w:rPr>
  </w:style>
  <w:style w:type="paragraph" w:styleId="3">
    <w:name w:val="Body Text"/>
    <w:basedOn w:val="1"/>
    <w:link w:val="87"/>
    <w:qFormat/>
    <w:uiPriority w:val="0"/>
    <w:pPr>
      <w:spacing w:after="120"/>
    </w:pPr>
    <w:rPr>
      <w:rFonts w:ascii="Times New Roman" w:hAnsi="Times New Roman"/>
      <w:szCs w:val="20"/>
    </w:rPr>
  </w:style>
  <w:style w:type="paragraph" w:styleId="13">
    <w:name w:val="toc 7"/>
    <w:basedOn w:val="1"/>
    <w:next w:val="1"/>
    <w:unhideWhenUsed/>
    <w:qFormat/>
    <w:uiPriority w:val="39"/>
    <w:pPr>
      <w:tabs>
        <w:tab w:val="right" w:leader="dot" w:pos="9344"/>
      </w:tabs>
      <w:spacing w:line="300" w:lineRule="exact"/>
      <w:ind w:left="1259"/>
    </w:pPr>
    <w:rPr>
      <w:rFonts w:ascii="宋体"/>
    </w:rPr>
  </w:style>
  <w:style w:type="paragraph" w:styleId="14">
    <w:name w:val="Normal Indent"/>
    <w:basedOn w:val="1"/>
    <w:qFormat/>
    <w:uiPriority w:val="0"/>
    <w:pPr>
      <w:ind w:firstLine="4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6"/>
    <w:semiHidden/>
    <w:unhideWhenUsed/>
    <w:qFormat/>
    <w:uiPriority w:val="99"/>
    <w:rPr>
      <w:sz w:val="18"/>
      <w:szCs w:val="18"/>
    </w:rPr>
  </w:style>
  <w:style w:type="paragraph" w:styleId="18">
    <w:name w:val="footer"/>
    <w:basedOn w:val="1"/>
    <w:link w:val="45"/>
    <w:qFormat/>
    <w:uiPriority w:val="99"/>
    <w:pPr>
      <w:tabs>
        <w:tab w:val="center" w:pos="4153"/>
        <w:tab w:val="right" w:pos="8306"/>
      </w:tabs>
      <w:adjustRightInd/>
      <w:snapToGrid w:val="0"/>
      <w:spacing w:line="240" w:lineRule="auto"/>
      <w:jc w:val="right"/>
    </w:pPr>
    <w:rPr>
      <w:rFonts w:ascii="宋体" w:hAnsi="Times New Roman"/>
      <w:sz w:val="18"/>
      <w:szCs w:val="18"/>
    </w:rPr>
  </w:style>
  <w:style w:type="paragraph" w:styleId="19">
    <w:name w:val="header"/>
    <w:basedOn w:val="1"/>
    <w:link w:val="44"/>
    <w:qFormat/>
    <w:uiPriority w:val="99"/>
    <w:pPr>
      <w:tabs>
        <w:tab w:val="center" w:pos="4153"/>
        <w:tab w:val="right" w:pos="8306"/>
      </w:tabs>
      <w:adjustRightInd/>
      <w:snapToGrid w:val="0"/>
      <w:jc w:val="center"/>
    </w:pPr>
    <w:rPr>
      <w:rFonts w:ascii="Times New Roman" w:hAnsi="Times New Roman"/>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0"/>
    <w:semiHidden/>
    <w:qFormat/>
    <w:uiPriority w:val="0"/>
    <w:pPr>
      <w:adjustRightInd/>
      <w:snapToGrid w:val="0"/>
      <w:spacing w:line="300" w:lineRule="exact"/>
      <w:ind w:left="400" w:leftChars="200" w:hanging="200" w:hangingChars="200"/>
      <w:jc w:val="left"/>
    </w:pPr>
    <w:rPr>
      <w:rFonts w:ascii="宋体" w:hAnsi="Times New Roman"/>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49"/>
    <w:qFormat/>
    <w:uiPriority w:val="0"/>
    <w:pPr>
      <w:spacing w:before="240" w:after="60"/>
      <w:jc w:val="center"/>
      <w:outlineLvl w:val="0"/>
    </w:pPr>
    <w:rPr>
      <w:rFonts w:ascii="Arial" w:hAnsi="Arial" w:cs="Arial"/>
      <w:b/>
      <w:bCs/>
      <w:sz w:val="32"/>
      <w:szCs w:val="3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qFormat/>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footnote reference"/>
    <w:semiHidden/>
    <w:qFormat/>
    <w:uiPriority w:val="0"/>
    <w:rPr>
      <w:rFonts w:ascii="宋体" w:hAnsi="宋体" w:eastAsia="宋体" w:cs="Times New Roman"/>
      <w:spacing w:val="0"/>
      <w:sz w:val="18"/>
      <w:vertAlign w:val="superscript"/>
    </w:rPr>
  </w:style>
  <w:style w:type="character" w:customStyle="1" w:styleId="35">
    <w:name w:val="标题 1 字符"/>
    <w:link w:val="4"/>
    <w:qFormat/>
    <w:uiPriority w:val="0"/>
    <w:rPr>
      <w:rFonts w:ascii="Times New Roman" w:hAnsi="Times New Roman" w:eastAsia="宋体" w:cs="Times New Roman"/>
      <w:b/>
      <w:bCs/>
      <w:kern w:val="44"/>
      <w:sz w:val="44"/>
      <w:szCs w:val="44"/>
    </w:rPr>
  </w:style>
  <w:style w:type="character" w:customStyle="1" w:styleId="36">
    <w:name w:val="标题 2 字符"/>
    <w:link w:val="5"/>
    <w:qFormat/>
    <w:uiPriority w:val="0"/>
    <w:rPr>
      <w:rFonts w:ascii="Arial" w:hAnsi="Arial" w:eastAsia="黑体" w:cs="Times New Roman"/>
      <w:b/>
      <w:bCs/>
      <w:sz w:val="32"/>
      <w:szCs w:val="32"/>
    </w:rPr>
  </w:style>
  <w:style w:type="character" w:customStyle="1" w:styleId="37">
    <w:name w:val="标题 3 字符"/>
    <w:link w:val="6"/>
    <w:qFormat/>
    <w:uiPriority w:val="0"/>
    <w:rPr>
      <w:rFonts w:ascii="Times New Roman" w:hAnsi="Times New Roman" w:eastAsia="宋体" w:cs="Times New Roman"/>
      <w:b/>
      <w:bCs/>
      <w:sz w:val="32"/>
      <w:szCs w:val="32"/>
    </w:rPr>
  </w:style>
  <w:style w:type="character" w:customStyle="1" w:styleId="38">
    <w:name w:val="标题 4 字符"/>
    <w:link w:val="7"/>
    <w:qFormat/>
    <w:uiPriority w:val="0"/>
    <w:rPr>
      <w:rFonts w:ascii="Arial" w:hAnsi="Arial" w:eastAsia="黑体" w:cs="Times New Roman"/>
      <w:b/>
      <w:bCs/>
      <w:sz w:val="28"/>
      <w:szCs w:val="28"/>
    </w:rPr>
  </w:style>
  <w:style w:type="character" w:customStyle="1" w:styleId="39">
    <w:name w:val="标题 5 字符"/>
    <w:link w:val="8"/>
    <w:qFormat/>
    <w:uiPriority w:val="0"/>
    <w:rPr>
      <w:rFonts w:ascii="Times New Roman" w:hAnsi="Times New Roman" w:eastAsia="宋体" w:cs="Times New Roman"/>
      <w:b/>
      <w:bCs/>
      <w:sz w:val="28"/>
      <w:szCs w:val="28"/>
    </w:rPr>
  </w:style>
  <w:style w:type="character" w:customStyle="1" w:styleId="40">
    <w:name w:val="标题 6 字符"/>
    <w:link w:val="9"/>
    <w:qFormat/>
    <w:uiPriority w:val="0"/>
    <w:rPr>
      <w:rFonts w:ascii="Arial" w:hAnsi="Arial" w:eastAsia="黑体" w:cs="Times New Roman"/>
      <w:b/>
      <w:bCs/>
      <w:sz w:val="24"/>
      <w:szCs w:val="24"/>
    </w:rPr>
  </w:style>
  <w:style w:type="character" w:customStyle="1" w:styleId="41">
    <w:name w:val="标题 7 字符"/>
    <w:link w:val="10"/>
    <w:qFormat/>
    <w:uiPriority w:val="0"/>
    <w:rPr>
      <w:rFonts w:ascii="Times New Roman" w:hAnsi="Times New Roman" w:eastAsia="宋体" w:cs="Times New Roman"/>
      <w:b/>
      <w:bCs/>
      <w:sz w:val="24"/>
      <w:szCs w:val="24"/>
    </w:rPr>
  </w:style>
  <w:style w:type="character" w:customStyle="1" w:styleId="42">
    <w:name w:val="标题 8 字符"/>
    <w:link w:val="11"/>
    <w:qFormat/>
    <w:uiPriority w:val="0"/>
    <w:rPr>
      <w:rFonts w:ascii="Arial" w:hAnsi="Arial" w:eastAsia="黑体" w:cs="Times New Roman"/>
      <w:sz w:val="24"/>
      <w:szCs w:val="24"/>
    </w:rPr>
  </w:style>
  <w:style w:type="character" w:customStyle="1" w:styleId="43">
    <w:name w:val="标题 9 字符"/>
    <w:link w:val="12"/>
    <w:qFormat/>
    <w:uiPriority w:val="0"/>
    <w:rPr>
      <w:rFonts w:ascii="Arial" w:hAnsi="Arial" w:eastAsia="黑体" w:cs="Times New Roman"/>
      <w:szCs w:val="21"/>
    </w:rPr>
  </w:style>
  <w:style w:type="character" w:customStyle="1" w:styleId="44">
    <w:name w:val="页眉 字符"/>
    <w:link w:val="19"/>
    <w:qFormat/>
    <w:uiPriority w:val="99"/>
    <w:rPr>
      <w:rFonts w:ascii="Times New Roman" w:hAnsi="Times New Roman" w:eastAsia="宋体" w:cs="Times New Roman"/>
      <w:sz w:val="18"/>
      <w:szCs w:val="18"/>
    </w:rPr>
  </w:style>
  <w:style w:type="character" w:customStyle="1" w:styleId="45">
    <w:name w:val="页脚 字符"/>
    <w:link w:val="18"/>
    <w:qFormat/>
    <w:uiPriority w:val="99"/>
    <w:rPr>
      <w:rFonts w:ascii="宋体" w:hAnsi="Times New Roman" w:eastAsia="宋体" w:cs="Times New Roman"/>
      <w:sz w:val="18"/>
      <w:szCs w:val="18"/>
    </w:rPr>
  </w:style>
  <w:style w:type="character" w:customStyle="1" w:styleId="46">
    <w:name w:val="批注框文本 字符"/>
    <w:link w:val="17"/>
    <w:semiHidden/>
    <w:qFormat/>
    <w:uiPriority w:val="99"/>
    <w:rPr>
      <w:sz w:val="18"/>
      <w:szCs w:val="18"/>
    </w:rPr>
  </w:style>
  <w:style w:type="paragraph" w:styleId="47">
    <w:name w:val="Quote"/>
    <w:basedOn w:val="1"/>
    <w:next w:val="1"/>
    <w:link w:val="48"/>
    <w:qFormat/>
    <w:uiPriority w:val="29"/>
    <w:rPr>
      <w:i/>
      <w:iCs/>
      <w:color w:val="000000"/>
    </w:rPr>
  </w:style>
  <w:style w:type="character" w:customStyle="1" w:styleId="48">
    <w:name w:val="引用 字符"/>
    <w:link w:val="47"/>
    <w:qFormat/>
    <w:uiPriority w:val="29"/>
    <w:rPr>
      <w:i/>
      <w:iCs/>
      <w:color w:val="000000"/>
    </w:rPr>
  </w:style>
  <w:style w:type="character" w:customStyle="1" w:styleId="49">
    <w:name w:val="标题 字符"/>
    <w:link w:val="26"/>
    <w:qFormat/>
    <w:uiPriority w:val="0"/>
    <w:rPr>
      <w:rFonts w:ascii="Arial" w:hAnsi="Arial" w:eastAsia="宋体" w:cs="Arial"/>
      <w:b/>
      <w:bCs/>
      <w:sz w:val="32"/>
      <w:szCs w:val="32"/>
    </w:rPr>
  </w:style>
  <w:style w:type="paragraph" w:customStyle="1" w:styleId="5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1">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3">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4">
    <w:name w:val="标准书眉一"/>
    <w:qFormat/>
    <w:uiPriority w:val="0"/>
    <w:pPr>
      <w:jc w:val="both"/>
    </w:pPr>
    <w:rPr>
      <w:rFonts w:ascii="Times New Roman" w:hAnsi="Times New Roman" w:eastAsia="宋体" w:cs="Times New Roman"/>
      <w:lang w:val="en-US" w:eastAsia="zh-CN" w:bidi="ar-SA"/>
    </w:rPr>
  </w:style>
  <w:style w:type="paragraph" w:customStyle="1" w:styleId="55">
    <w:name w:val="标准文件_ICS"/>
    <w:basedOn w:val="1"/>
    <w:qFormat/>
    <w:uiPriority w:val="0"/>
    <w:pPr>
      <w:spacing w:line="0" w:lineRule="atLeast"/>
    </w:pPr>
    <w:rPr>
      <w:rFonts w:ascii="黑体" w:hAnsi="宋体" w:eastAsia="黑体"/>
    </w:rPr>
  </w:style>
  <w:style w:type="paragraph" w:customStyle="1" w:styleId="56">
    <w:name w:val="标准文件_标准正文"/>
    <w:basedOn w:val="1"/>
    <w:next w:val="57"/>
    <w:qFormat/>
    <w:uiPriority w:val="0"/>
    <w:pPr>
      <w:snapToGrid w:val="0"/>
      <w:ind w:firstLine="200" w:firstLineChars="200"/>
    </w:pPr>
    <w:rPr>
      <w:rFonts w:ascii="Times New Roman" w:hAnsi="Times New Roman"/>
      <w:kern w:val="0"/>
    </w:rPr>
  </w:style>
  <w:style w:type="paragraph" w:customStyle="1" w:styleId="57">
    <w:name w:val="标准文件_段"/>
    <w:link w:val="185"/>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58">
    <w:name w:val="标准文件_版本"/>
    <w:basedOn w:val="56"/>
    <w:qFormat/>
    <w:uiPriority w:val="0"/>
    <w:pPr>
      <w:adjustRightInd/>
      <w:snapToGrid/>
      <w:ind w:firstLine="0" w:firstLineChars="0"/>
    </w:pPr>
    <w:rPr>
      <w:rFonts w:ascii="宋体" w:hAnsi="宋体"/>
      <w:kern w:val="2"/>
    </w:rPr>
  </w:style>
  <w:style w:type="paragraph" w:customStyle="1" w:styleId="59">
    <w:name w:val="标准文件_标准部门"/>
    <w:basedOn w:val="1"/>
    <w:qFormat/>
    <w:uiPriority w:val="0"/>
    <w:pPr>
      <w:jc w:val="center"/>
    </w:pPr>
    <w:rPr>
      <w:rFonts w:ascii="黑体" w:eastAsia="黑体"/>
      <w:kern w:val="0"/>
      <w:sz w:val="44"/>
    </w:rPr>
  </w:style>
  <w:style w:type="paragraph" w:customStyle="1" w:styleId="60">
    <w:name w:val="标准文件_标准代替"/>
    <w:basedOn w:val="1"/>
    <w:next w:val="1"/>
    <w:qFormat/>
    <w:uiPriority w:val="0"/>
    <w:pPr>
      <w:spacing w:line="310" w:lineRule="exact"/>
      <w:jc w:val="right"/>
    </w:pPr>
    <w:rPr>
      <w:rFonts w:ascii="宋体" w:hAnsi="宋体"/>
      <w:kern w:val="0"/>
    </w:rPr>
  </w:style>
  <w:style w:type="paragraph" w:customStyle="1" w:styleId="61">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2">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3">
    <w:name w:val="标准文件_页眉偶数页"/>
    <w:basedOn w:val="62"/>
    <w:next w:val="1"/>
    <w:qFormat/>
    <w:uiPriority w:val="0"/>
    <w:pPr>
      <w:jc w:val="left"/>
    </w:pPr>
  </w:style>
  <w:style w:type="paragraph" w:customStyle="1" w:styleId="64">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5">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6">
    <w:name w:val="标准文件_二级条标题"/>
    <w:next w:val="5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7">
    <w:name w:val="标准文件_发布"/>
    <w:qFormat/>
    <w:uiPriority w:val="0"/>
    <w:rPr>
      <w:rFonts w:ascii="黑体" w:eastAsia="黑体"/>
      <w:spacing w:val="0"/>
      <w:w w:val="100"/>
      <w:position w:val="3"/>
      <w:sz w:val="28"/>
    </w:rPr>
  </w:style>
  <w:style w:type="paragraph" w:customStyle="1" w:styleId="68">
    <w:name w:val="标准文件_方框数字列项"/>
    <w:basedOn w:val="57"/>
    <w:qFormat/>
    <w:uiPriority w:val="0"/>
    <w:pPr>
      <w:numPr>
        <w:ilvl w:val="0"/>
        <w:numId w:val="3"/>
      </w:numPr>
      <w:ind w:firstLine="0" w:firstLineChars="0"/>
    </w:pPr>
  </w:style>
  <w:style w:type="paragraph" w:customStyle="1" w:styleId="69">
    <w:name w:val="标准文件_封面标准编号"/>
    <w:basedOn w:val="1"/>
    <w:next w:val="60"/>
    <w:qFormat/>
    <w:uiPriority w:val="0"/>
    <w:pPr>
      <w:spacing w:line="310" w:lineRule="exact"/>
      <w:jc w:val="right"/>
    </w:pPr>
    <w:rPr>
      <w:rFonts w:ascii="黑体" w:eastAsia="黑体"/>
      <w:kern w:val="0"/>
      <w:sz w:val="28"/>
    </w:rPr>
  </w:style>
  <w:style w:type="paragraph" w:customStyle="1" w:styleId="70">
    <w:name w:val="标准文件_封面标准分类号"/>
    <w:basedOn w:val="1"/>
    <w:qFormat/>
    <w:uiPriority w:val="0"/>
    <w:rPr>
      <w:rFonts w:ascii="黑体" w:eastAsia="黑体"/>
      <w:b/>
      <w:kern w:val="0"/>
      <w:sz w:val="28"/>
    </w:rPr>
  </w:style>
  <w:style w:type="paragraph" w:customStyle="1" w:styleId="71">
    <w:name w:val="标准文件_封面标准名称"/>
    <w:basedOn w:val="1"/>
    <w:qFormat/>
    <w:uiPriority w:val="0"/>
    <w:pPr>
      <w:spacing w:line="240" w:lineRule="auto"/>
      <w:jc w:val="center"/>
    </w:pPr>
    <w:rPr>
      <w:rFonts w:ascii="黑体" w:eastAsia="黑体"/>
      <w:kern w:val="0"/>
      <w:sz w:val="52"/>
    </w:rPr>
  </w:style>
  <w:style w:type="paragraph" w:customStyle="1" w:styleId="72">
    <w:name w:val="标准文件_封面标准英文名称"/>
    <w:basedOn w:val="1"/>
    <w:qFormat/>
    <w:uiPriority w:val="0"/>
    <w:pPr>
      <w:spacing w:line="240" w:lineRule="auto"/>
      <w:jc w:val="center"/>
    </w:pPr>
    <w:rPr>
      <w:rFonts w:ascii="黑体" w:eastAsia="黑体"/>
      <w:b/>
      <w:sz w:val="28"/>
    </w:rPr>
  </w:style>
  <w:style w:type="paragraph" w:customStyle="1" w:styleId="73">
    <w:name w:val="标准文件_封面发布日期"/>
    <w:basedOn w:val="1"/>
    <w:qFormat/>
    <w:uiPriority w:val="0"/>
    <w:pPr>
      <w:spacing w:line="310" w:lineRule="exact"/>
    </w:pPr>
    <w:rPr>
      <w:rFonts w:ascii="黑体" w:eastAsia="黑体"/>
      <w:kern w:val="0"/>
      <w:sz w:val="28"/>
    </w:rPr>
  </w:style>
  <w:style w:type="paragraph" w:customStyle="1" w:styleId="74">
    <w:name w:val="标准文件_封面密级"/>
    <w:basedOn w:val="1"/>
    <w:qFormat/>
    <w:uiPriority w:val="0"/>
    <w:rPr>
      <w:rFonts w:eastAsia="黑体"/>
      <w:sz w:val="32"/>
    </w:rPr>
  </w:style>
  <w:style w:type="paragraph" w:customStyle="1" w:styleId="75">
    <w:name w:val="标准文件_封面实施日期"/>
    <w:basedOn w:val="1"/>
    <w:qFormat/>
    <w:uiPriority w:val="0"/>
    <w:pPr>
      <w:spacing w:line="310" w:lineRule="exact"/>
      <w:jc w:val="right"/>
    </w:pPr>
    <w:rPr>
      <w:rFonts w:ascii="黑体" w:eastAsia="黑体"/>
      <w:sz w:val="28"/>
    </w:rPr>
  </w:style>
  <w:style w:type="paragraph" w:customStyle="1" w:styleId="76">
    <w:name w:val="标准文件_封面抬头"/>
    <w:basedOn w:val="57"/>
    <w:qFormat/>
    <w:uiPriority w:val="0"/>
    <w:pPr>
      <w:adjustRightInd w:val="0"/>
      <w:spacing w:line="800" w:lineRule="exact"/>
      <w:ind w:firstLine="0" w:firstLineChars="0"/>
      <w:jc w:val="distribute"/>
    </w:pPr>
    <w:rPr>
      <w:rFonts w:ascii="黑体" w:eastAsia="黑体"/>
      <w:b/>
      <w:sz w:val="64"/>
    </w:rPr>
  </w:style>
  <w:style w:type="paragraph" w:customStyle="1" w:styleId="77">
    <w:name w:val="标准文件_附录标识"/>
    <w:next w:val="5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8">
    <w:name w:val="标准文件_附录表标题"/>
    <w:next w:val="57"/>
    <w:qFormat/>
    <w:uiPriority w:val="0"/>
    <w:pPr>
      <w:numPr>
        <w:ilvl w:val="1"/>
        <w:numId w:val="5"/>
      </w:numPr>
      <w:tabs>
        <w:tab w:val="left" w:pos="0"/>
        <w:tab w:val="clear" w:pos="3969"/>
      </w:tabs>
      <w:adjustRightInd w:val="0"/>
      <w:snapToGrid w:val="0"/>
      <w:spacing w:before="50" w:beforeLines="50" w:after="50" w:afterLines="50"/>
      <w:ind w:left="0"/>
      <w:jc w:val="center"/>
      <w:textAlignment w:val="baseline"/>
    </w:pPr>
    <w:rPr>
      <w:rFonts w:ascii="黑体" w:hAnsi="Times New Roman" w:eastAsia="黑体" w:cs="Times New Roman"/>
      <w:kern w:val="21"/>
      <w:sz w:val="21"/>
      <w:lang w:val="en-US" w:eastAsia="zh-CN" w:bidi="ar-SA"/>
    </w:rPr>
  </w:style>
  <w:style w:type="paragraph" w:customStyle="1" w:styleId="79">
    <w:name w:val="标准文件_附录一级条标题"/>
    <w:next w:val="5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二级条标题"/>
    <w:basedOn w:val="79"/>
    <w:next w:val="57"/>
    <w:qFormat/>
    <w:uiPriority w:val="0"/>
    <w:pPr>
      <w:widowControl/>
      <w:numPr>
        <w:ilvl w:val="2"/>
      </w:numPr>
      <w:wordWrap w:val="0"/>
      <w:overflowPunct w:val="0"/>
      <w:autoSpaceDE w:val="0"/>
      <w:autoSpaceDN w:val="0"/>
      <w:textAlignment w:val="baseline"/>
      <w:outlineLvl w:val="3"/>
    </w:pPr>
  </w:style>
  <w:style w:type="paragraph" w:customStyle="1" w:styleId="81">
    <w:name w:val="标准文件_附录公式"/>
    <w:basedOn w:val="56"/>
    <w:next w:val="56"/>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2">
    <w:name w:val="标准文件_附录三级条标题"/>
    <w:next w:val="5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3">
    <w:name w:val="标准文件_附录四级条标题"/>
    <w:next w:val="5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4">
    <w:name w:val="标准文件_附录图标题"/>
    <w:next w:val="5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5">
    <w:name w:val="标准文件_附录五级条标题"/>
    <w:next w:val="5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6">
    <w:name w:val="标准文件_附录英文标识"/>
    <w:next w:val="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7">
    <w:name w:val="正文文本 字符"/>
    <w:link w:val="3"/>
    <w:qFormat/>
    <w:uiPriority w:val="0"/>
    <w:rPr>
      <w:rFonts w:ascii="Times New Roman" w:hAnsi="Times New Roman" w:eastAsia="宋体" w:cs="Times New Roman"/>
      <w:szCs w:val="20"/>
    </w:rPr>
  </w:style>
  <w:style w:type="paragraph" w:customStyle="1" w:styleId="88">
    <w:name w:val="标准文件_附录章标题"/>
    <w:next w:val="5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9">
    <w:name w:val="标准文件_公式后的破折号"/>
    <w:basedOn w:val="57"/>
    <w:next w:val="57"/>
    <w:qFormat/>
    <w:uiPriority w:val="0"/>
    <w:pPr>
      <w:ind w:left="488" w:leftChars="200" w:hanging="289" w:hangingChars="290"/>
    </w:pPr>
  </w:style>
  <w:style w:type="paragraph" w:customStyle="1" w:styleId="90">
    <w:name w:val="标准文件_前言、引言标题"/>
    <w:next w:val="1"/>
    <w:qFormat/>
    <w:uiPriority w:val="0"/>
    <w:pPr>
      <w:numPr>
        <w:ilvl w:val="0"/>
        <w:numId w:val="8"/>
      </w:numPr>
      <w:shd w:val="clear" w:color="FFFFFF" w:fill="FFFFFF"/>
      <w:spacing w:before="560" w:after="150" w:afterLines="150"/>
      <w:ind w:left="0" w:firstLine="0"/>
      <w:jc w:val="center"/>
      <w:outlineLvl w:val="0"/>
    </w:pPr>
    <w:rPr>
      <w:rFonts w:ascii="黑体" w:hAnsi="Times New Roman" w:eastAsia="黑体" w:cs="Times New Roman"/>
      <w:sz w:val="32"/>
      <w:lang w:val="en-US" w:eastAsia="zh-CN" w:bidi="ar-SA"/>
    </w:rPr>
  </w:style>
  <w:style w:type="paragraph" w:customStyle="1" w:styleId="91">
    <w:name w:val="标准文件_目次、标准名称标题"/>
    <w:basedOn w:val="90"/>
    <w:next w:val="57"/>
    <w:qFormat/>
    <w:uiPriority w:val="0"/>
    <w:pPr>
      <w:spacing w:line="460" w:lineRule="exact"/>
    </w:pPr>
  </w:style>
  <w:style w:type="paragraph" w:customStyle="1" w:styleId="92">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3">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4">
    <w:name w:val="标准文件_破折号列项（二级）"/>
    <w:basedOn w:val="93"/>
    <w:qFormat/>
    <w:uiPriority w:val="0"/>
    <w:pPr>
      <w:numPr>
        <w:numId w:val="10"/>
      </w:numPr>
      <w:ind w:left="0" w:firstLine="200"/>
    </w:pPr>
  </w:style>
  <w:style w:type="paragraph" w:customStyle="1" w:styleId="95">
    <w:name w:val="标准文件_三级条标题"/>
    <w:basedOn w:val="66"/>
    <w:next w:val="57"/>
    <w:qFormat/>
    <w:uiPriority w:val="0"/>
    <w:pPr>
      <w:widowControl/>
      <w:numPr>
        <w:ilvl w:val="4"/>
      </w:numPr>
      <w:outlineLvl w:val="3"/>
    </w:pPr>
  </w:style>
  <w:style w:type="character" w:customStyle="1" w:styleId="96">
    <w:name w:val="不明显参考1"/>
    <w:qFormat/>
    <w:uiPriority w:val="31"/>
    <w:rPr>
      <w:smallCaps/>
      <w:color w:val="C0504D"/>
      <w:u w:val="single"/>
    </w:rPr>
  </w:style>
  <w:style w:type="paragraph" w:customStyle="1" w:styleId="97">
    <w:name w:val="标准文件_示例后续"/>
    <w:basedOn w:val="1"/>
    <w:qFormat/>
    <w:uiPriority w:val="0"/>
    <w:pPr>
      <w:adjustRightInd/>
      <w:spacing w:line="240" w:lineRule="auto"/>
      <w:ind w:firstLine="200" w:firstLineChars="200"/>
    </w:pPr>
    <w:rPr>
      <w:sz w:val="18"/>
      <w:szCs w:val="24"/>
    </w:rPr>
  </w:style>
  <w:style w:type="paragraph" w:customStyle="1" w:styleId="98">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9">
    <w:name w:val="标准文件_四级条标题"/>
    <w:next w:val="5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0">
    <w:name w:val="脚注文本 字符"/>
    <w:link w:val="22"/>
    <w:semiHidden/>
    <w:qFormat/>
    <w:uiPriority w:val="0"/>
    <w:rPr>
      <w:rFonts w:ascii="宋体" w:hAnsi="Times New Roman" w:eastAsia="宋体" w:cs="Times New Roman"/>
      <w:sz w:val="18"/>
      <w:szCs w:val="18"/>
    </w:rPr>
  </w:style>
  <w:style w:type="paragraph" w:customStyle="1" w:styleId="101">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2">
    <w:name w:val="标准文件_图表脚注"/>
    <w:basedOn w:val="1"/>
    <w:next w:val="57"/>
    <w:qFormat/>
    <w:uiPriority w:val="0"/>
    <w:pPr>
      <w:numPr>
        <w:ilvl w:val="0"/>
        <w:numId w:val="12"/>
      </w:numPr>
      <w:spacing w:line="240" w:lineRule="auto"/>
      <w:jc w:val="left"/>
    </w:pPr>
    <w:rPr>
      <w:rFonts w:ascii="宋体" w:hAnsi="宋体"/>
      <w:sz w:val="18"/>
    </w:rPr>
  </w:style>
  <w:style w:type="character" w:customStyle="1" w:styleId="103">
    <w:name w:val="标准文件_图表脚注内容"/>
    <w:qFormat/>
    <w:uiPriority w:val="0"/>
    <w:rPr>
      <w:rFonts w:ascii="宋体" w:hAnsi="宋体" w:eastAsia="宋体" w:cs="Times New Roman"/>
      <w:spacing w:val="0"/>
      <w:sz w:val="18"/>
      <w:vertAlign w:val="superscript"/>
    </w:rPr>
  </w:style>
  <w:style w:type="paragraph" w:customStyle="1" w:styleId="104">
    <w:name w:val="标准文件_五级条标题"/>
    <w:next w:val="5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5">
    <w:name w:val="标准文件_章标题"/>
    <w:next w:val="57"/>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6">
    <w:name w:val="标准文件_一级条标题"/>
    <w:basedOn w:val="105"/>
    <w:next w:val="57"/>
    <w:qFormat/>
    <w:uiPriority w:val="0"/>
    <w:pPr>
      <w:numPr>
        <w:ilvl w:val="2"/>
      </w:numPr>
      <w:spacing w:before="50" w:beforeLines="50" w:after="50" w:afterLines="50"/>
      <w:outlineLvl w:val="1"/>
    </w:pPr>
  </w:style>
  <w:style w:type="paragraph" w:customStyle="1" w:styleId="107">
    <w:name w:val="标准文件_一致程度"/>
    <w:basedOn w:val="1"/>
    <w:qFormat/>
    <w:uiPriority w:val="0"/>
    <w:pPr>
      <w:spacing w:line="440" w:lineRule="exact"/>
      <w:jc w:val="center"/>
    </w:pPr>
    <w:rPr>
      <w:sz w:val="28"/>
    </w:rPr>
  </w:style>
  <w:style w:type="paragraph" w:customStyle="1" w:styleId="108">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9">
    <w:name w:val="标准文件_英文图表脚注"/>
    <w:basedOn w:val="56"/>
    <w:qFormat/>
    <w:uiPriority w:val="0"/>
    <w:pPr>
      <w:widowControl/>
      <w:adjustRightInd/>
      <w:snapToGrid/>
      <w:spacing w:line="240" w:lineRule="auto"/>
      <w:ind w:left="79" w:hanging="79" w:hangingChars="80"/>
    </w:pPr>
    <w:rPr>
      <w:rFonts w:ascii="宋体" w:hAnsi="宋体"/>
    </w:rPr>
  </w:style>
  <w:style w:type="paragraph" w:customStyle="1" w:styleId="110">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1">
    <w:name w:val="标准文件_英文注："/>
    <w:basedOn w:val="1"/>
    <w:next w:val="5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2">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3">
    <w:name w:val="标准文件_正文表标题"/>
    <w:next w:val="5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4">
    <w:name w:val="标准文件_正文公式"/>
    <w:basedOn w:val="1"/>
    <w:next w:val="56"/>
    <w:qFormat/>
    <w:uiPriority w:val="0"/>
    <w:pPr>
      <w:tabs>
        <w:tab w:val="center" w:pos="4678"/>
        <w:tab w:val="right" w:leader="middleDot" w:pos="9356"/>
      </w:tabs>
      <w:spacing w:line="240" w:lineRule="auto"/>
    </w:pPr>
    <w:rPr>
      <w:rFonts w:ascii="宋体" w:hAnsi="宋体"/>
    </w:rPr>
  </w:style>
  <w:style w:type="paragraph" w:customStyle="1" w:styleId="115">
    <w:name w:val="标准文件_正文图标题"/>
    <w:next w:val="5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英文表标题"/>
    <w:next w:val="5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7">
    <w:name w:val="标准文件_正文英文图标题"/>
    <w:next w:val="5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8">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9">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0">
    <w:name w:val="发布部门"/>
    <w:next w:val="5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1">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2">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3">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5">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6">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7">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8">
    <w:name w:val="封面正文"/>
    <w:qFormat/>
    <w:uiPriority w:val="0"/>
    <w:pPr>
      <w:jc w:val="both"/>
    </w:pPr>
    <w:rPr>
      <w:rFonts w:ascii="Times New Roman" w:hAnsi="Times New Roman" w:eastAsia="宋体" w:cs="Times New Roman"/>
      <w:lang w:val="en-US" w:eastAsia="zh-CN" w:bidi="ar-SA"/>
    </w:rPr>
  </w:style>
  <w:style w:type="paragraph" w:customStyle="1" w:styleId="129">
    <w:name w:val="附录二级无标题条"/>
    <w:basedOn w:val="1"/>
    <w:next w:val="5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0">
    <w:name w:val="附录三级无标题条"/>
    <w:basedOn w:val="129"/>
    <w:next w:val="57"/>
    <w:qFormat/>
    <w:uiPriority w:val="0"/>
    <w:pPr>
      <w:outlineLvl w:val="4"/>
    </w:pPr>
  </w:style>
  <w:style w:type="paragraph" w:customStyle="1" w:styleId="131">
    <w:name w:val="附录四级无标题条"/>
    <w:basedOn w:val="130"/>
    <w:next w:val="57"/>
    <w:qFormat/>
    <w:uiPriority w:val="0"/>
    <w:pPr>
      <w:outlineLvl w:val="5"/>
    </w:pPr>
  </w:style>
  <w:style w:type="paragraph" w:customStyle="1" w:styleId="132">
    <w:name w:val="附录图"/>
    <w:next w:val="5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3">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4">
    <w:name w:val="附录五级无标题条"/>
    <w:basedOn w:val="131"/>
    <w:next w:val="57"/>
    <w:qFormat/>
    <w:uiPriority w:val="0"/>
    <w:pPr>
      <w:outlineLvl w:val="6"/>
    </w:pPr>
  </w:style>
  <w:style w:type="paragraph" w:customStyle="1" w:styleId="135">
    <w:name w:val="附录性质"/>
    <w:basedOn w:val="1"/>
    <w:qFormat/>
    <w:uiPriority w:val="0"/>
    <w:pPr>
      <w:widowControl/>
      <w:adjustRightInd/>
      <w:jc w:val="center"/>
    </w:pPr>
    <w:rPr>
      <w:rFonts w:ascii="黑体" w:eastAsia="黑体"/>
    </w:rPr>
  </w:style>
  <w:style w:type="paragraph" w:customStyle="1" w:styleId="136">
    <w:name w:val="附录一级无标题条"/>
    <w:basedOn w:val="88"/>
    <w:next w:val="57"/>
    <w:qFormat/>
    <w:uiPriority w:val="0"/>
    <w:pPr>
      <w:autoSpaceDN w:val="0"/>
      <w:outlineLvl w:val="2"/>
    </w:pPr>
    <w:rPr>
      <w:rFonts w:ascii="宋体" w:hAnsi="宋体" w:eastAsia="宋体"/>
    </w:rPr>
  </w:style>
  <w:style w:type="character" w:customStyle="1" w:styleId="137">
    <w:name w:val="个人答复风格"/>
    <w:qFormat/>
    <w:uiPriority w:val="0"/>
    <w:rPr>
      <w:rFonts w:ascii="Arial" w:hAnsi="Arial" w:eastAsia="宋体" w:cs="Arial"/>
      <w:color w:val="auto"/>
      <w:spacing w:val="0"/>
      <w:sz w:val="20"/>
    </w:rPr>
  </w:style>
  <w:style w:type="character" w:customStyle="1" w:styleId="138">
    <w:name w:val="个人撰写风格"/>
    <w:qFormat/>
    <w:uiPriority w:val="0"/>
    <w:rPr>
      <w:rFonts w:ascii="Arial" w:hAnsi="Arial" w:eastAsia="宋体" w:cs="Arial"/>
      <w:color w:val="auto"/>
      <w:spacing w:val="0"/>
      <w:sz w:val="20"/>
    </w:rPr>
  </w:style>
  <w:style w:type="paragraph" w:customStyle="1" w:styleId="139">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0">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1">
    <w:name w:val="列项·"/>
    <w:basedOn w:val="57"/>
    <w:qFormat/>
    <w:uiPriority w:val="0"/>
    <w:pPr>
      <w:tabs>
        <w:tab w:val="left" w:pos="840"/>
      </w:tabs>
    </w:pPr>
  </w:style>
  <w:style w:type="paragraph" w:customStyle="1" w:styleId="142">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3">
    <w:name w:val="目录 21"/>
    <w:basedOn w:val="1"/>
    <w:next w:val="1"/>
    <w:semiHidden/>
    <w:qFormat/>
    <w:uiPriority w:val="0"/>
    <w:pPr>
      <w:adjustRightInd/>
      <w:spacing w:line="240" w:lineRule="auto"/>
      <w:jc w:val="left"/>
    </w:pPr>
    <w:rPr>
      <w:bCs/>
      <w:iCs/>
    </w:rPr>
  </w:style>
  <w:style w:type="paragraph" w:customStyle="1" w:styleId="144">
    <w:name w:val="目录 31"/>
    <w:basedOn w:val="1"/>
    <w:next w:val="1"/>
    <w:semiHidden/>
    <w:qFormat/>
    <w:uiPriority w:val="0"/>
    <w:pPr>
      <w:spacing w:line="240" w:lineRule="auto"/>
    </w:pPr>
    <w:rPr>
      <w:rFonts w:ascii="宋体" w:hAnsi="宋体"/>
      <w:iCs/>
    </w:rPr>
  </w:style>
  <w:style w:type="paragraph" w:customStyle="1" w:styleId="145">
    <w:name w:val="目录 41"/>
    <w:basedOn w:val="1"/>
    <w:next w:val="1"/>
    <w:semiHidden/>
    <w:qFormat/>
    <w:uiPriority w:val="0"/>
    <w:pPr>
      <w:adjustRightInd/>
      <w:spacing w:line="240" w:lineRule="auto"/>
      <w:jc w:val="left"/>
    </w:pPr>
  </w:style>
  <w:style w:type="paragraph" w:customStyle="1" w:styleId="146">
    <w:name w:val="目录 51"/>
    <w:basedOn w:val="1"/>
    <w:next w:val="1"/>
    <w:semiHidden/>
    <w:qFormat/>
    <w:uiPriority w:val="0"/>
    <w:pPr>
      <w:spacing w:line="240" w:lineRule="auto"/>
    </w:pPr>
    <w:rPr>
      <w:rFonts w:ascii="宋体" w:hAnsi="宋体"/>
    </w:rPr>
  </w:style>
  <w:style w:type="paragraph" w:customStyle="1" w:styleId="147">
    <w:name w:val="目录 61"/>
    <w:basedOn w:val="1"/>
    <w:next w:val="1"/>
    <w:semiHidden/>
    <w:qFormat/>
    <w:uiPriority w:val="0"/>
    <w:pPr>
      <w:adjustRightInd/>
      <w:spacing w:line="240" w:lineRule="auto"/>
      <w:jc w:val="left"/>
    </w:pPr>
  </w:style>
  <w:style w:type="paragraph" w:customStyle="1" w:styleId="148">
    <w:name w:val="目录 71"/>
    <w:basedOn w:val="147"/>
    <w:semiHidden/>
    <w:qFormat/>
    <w:uiPriority w:val="0"/>
    <w:pPr>
      <w:ind w:left="1260"/>
    </w:pPr>
  </w:style>
  <w:style w:type="paragraph" w:customStyle="1" w:styleId="149">
    <w:name w:val="目录 81"/>
    <w:basedOn w:val="148"/>
    <w:semiHidden/>
    <w:qFormat/>
    <w:uiPriority w:val="0"/>
    <w:pPr>
      <w:ind w:left="1470"/>
    </w:pPr>
  </w:style>
  <w:style w:type="paragraph" w:customStyle="1" w:styleId="150">
    <w:name w:val="目录 91"/>
    <w:basedOn w:val="149"/>
    <w:semiHidden/>
    <w:qFormat/>
    <w:uiPriority w:val="0"/>
    <w:pPr>
      <w:ind w:left="1680"/>
    </w:pPr>
  </w:style>
  <w:style w:type="paragraph" w:customStyle="1" w:styleId="151">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2">
    <w:name w:val="其他发布部门"/>
    <w:basedOn w:val="120"/>
    <w:qFormat/>
    <w:uiPriority w:val="0"/>
    <w:pPr>
      <w:framePr w:wrap="around"/>
      <w:spacing w:line="0" w:lineRule="atLeast"/>
    </w:pPr>
    <w:rPr>
      <w:rFonts w:ascii="黑体" w:eastAsia="黑体"/>
      <w:b w:val="0"/>
    </w:rPr>
  </w:style>
  <w:style w:type="paragraph" w:customStyle="1" w:styleId="153">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4">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5">
    <w:name w:val="实施日期"/>
    <w:basedOn w:val="121"/>
    <w:qFormat/>
    <w:uiPriority w:val="0"/>
    <w:pPr>
      <w:framePr w:hSpace="0" w:wrap="around" w:xAlign="right"/>
      <w:jc w:val="right"/>
    </w:pPr>
  </w:style>
  <w:style w:type="paragraph" w:customStyle="1" w:styleId="156">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7">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8">
    <w:name w:val="无标题条"/>
    <w:next w:val="57"/>
    <w:qFormat/>
    <w:uiPriority w:val="0"/>
    <w:pPr>
      <w:jc w:val="both"/>
    </w:pPr>
    <w:rPr>
      <w:rFonts w:ascii="宋体" w:hAnsi="宋体" w:eastAsia="宋体" w:cs="Times New Roman"/>
      <w:sz w:val="21"/>
      <w:lang w:val="en-US" w:eastAsia="zh-CN" w:bidi="ar-SA"/>
    </w:rPr>
  </w:style>
  <w:style w:type="paragraph" w:customStyle="1" w:styleId="159">
    <w:name w:val="五级无标题条"/>
    <w:basedOn w:val="1"/>
    <w:qFormat/>
    <w:uiPriority w:val="0"/>
    <w:pPr>
      <w:numPr>
        <w:ilvl w:val="6"/>
        <w:numId w:val="20"/>
      </w:numPr>
      <w:adjustRightInd/>
    </w:pPr>
    <w:rPr>
      <w:szCs w:val="24"/>
    </w:rPr>
  </w:style>
  <w:style w:type="paragraph" w:customStyle="1" w:styleId="160">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1">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2">
    <w:name w:val="注×:后续"/>
    <w:basedOn w:val="161"/>
    <w:qFormat/>
    <w:uiPriority w:val="0"/>
    <w:pPr>
      <w:ind w:left="1406" w:leftChars="0" w:hanging="499" w:firstLineChars="0"/>
    </w:pPr>
  </w:style>
  <w:style w:type="paragraph" w:customStyle="1" w:styleId="163">
    <w:name w:val="标准文件_一级无标题"/>
    <w:basedOn w:val="106"/>
    <w:qFormat/>
    <w:uiPriority w:val="0"/>
    <w:pPr>
      <w:spacing w:before="0" w:beforeLines="0" w:after="0" w:afterLines="0"/>
      <w:outlineLvl w:val="9"/>
    </w:pPr>
    <w:rPr>
      <w:rFonts w:ascii="宋体" w:eastAsia="宋体"/>
    </w:rPr>
  </w:style>
  <w:style w:type="paragraph" w:customStyle="1" w:styleId="164">
    <w:name w:val="标准文件_五级无标题"/>
    <w:basedOn w:val="104"/>
    <w:qFormat/>
    <w:uiPriority w:val="0"/>
    <w:pPr>
      <w:spacing w:before="0" w:beforeLines="0" w:after="0" w:afterLines="0"/>
      <w:outlineLvl w:val="9"/>
    </w:pPr>
    <w:rPr>
      <w:rFonts w:ascii="宋体" w:eastAsia="宋体"/>
    </w:rPr>
  </w:style>
  <w:style w:type="paragraph" w:customStyle="1" w:styleId="165">
    <w:name w:val="标准文件_三级无标题"/>
    <w:basedOn w:val="95"/>
    <w:qFormat/>
    <w:uiPriority w:val="0"/>
    <w:pPr>
      <w:spacing w:before="0" w:beforeLines="0" w:after="0" w:afterLines="0"/>
      <w:outlineLvl w:val="9"/>
    </w:pPr>
    <w:rPr>
      <w:rFonts w:ascii="宋体" w:eastAsia="宋体"/>
    </w:rPr>
  </w:style>
  <w:style w:type="paragraph" w:customStyle="1" w:styleId="166">
    <w:name w:val="标准文件_二级无标题"/>
    <w:basedOn w:val="66"/>
    <w:qFormat/>
    <w:uiPriority w:val="0"/>
    <w:pPr>
      <w:spacing w:before="0" w:beforeLines="0" w:after="0" w:afterLines="0"/>
      <w:outlineLvl w:val="9"/>
    </w:pPr>
    <w:rPr>
      <w:rFonts w:ascii="宋体" w:eastAsia="宋体"/>
    </w:rPr>
  </w:style>
  <w:style w:type="paragraph" w:customStyle="1" w:styleId="167">
    <w:name w:val="标准_四级无标题"/>
    <w:basedOn w:val="99"/>
    <w:next w:val="57"/>
    <w:qFormat/>
    <w:uiPriority w:val="0"/>
    <w:rPr>
      <w:rFonts w:eastAsia="宋体"/>
    </w:rPr>
  </w:style>
  <w:style w:type="paragraph" w:customStyle="1" w:styleId="168">
    <w:name w:val="标准文件_四级无标题"/>
    <w:basedOn w:val="99"/>
    <w:qFormat/>
    <w:uiPriority w:val="0"/>
    <w:pPr>
      <w:spacing w:before="0" w:beforeLines="0" w:after="0" w:afterLines="0"/>
      <w:outlineLvl w:val="9"/>
    </w:pPr>
    <w:rPr>
      <w:rFonts w:ascii="宋体" w:hAnsi="黑体" w:eastAsia="宋体"/>
      <w:szCs w:val="52"/>
    </w:rPr>
  </w:style>
  <w:style w:type="paragraph" w:customStyle="1" w:styleId="169">
    <w:name w:val="标准文件_大写罗马数字编号列项"/>
    <w:basedOn w:val="57"/>
    <w:qFormat/>
    <w:uiPriority w:val="0"/>
    <w:pPr>
      <w:numPr>
        <w:ilvl w:val="0"/>
        <w:numId w:val="23"/>
      </w:numPr>
      <w:ind w:firstLine="0" w:firstLineChars="0"/>
    </w:pPr>
    <w:rPr>
      <w:rFonts w:cs="Arial"/>
      <w:szCs w:val="28"/>
    </w:rPr>
  </w:style>
  <w:style w:type="paragraph" w:customStyle="1" w:styleId="170">
    <w:name w:val="标准文件_小写罗马数字编号列项"/>
    <w:basedOn w:val="57"/>
    <w:qFormat/>
    <w:uiPriority w:val="0"/>
    <w:pPr>
      <w:numPr>
        <w:ilvl w:val="0"/>
        <w:numId w:val="24"/>
      </w:numPr>
      <w:ind w:firstLine="0" w:firstLineChars="0"/>
    </w:pPr>
    <w:rPr>
      <w:rFonts w:cs="Arial"/>
      <w:szCs w:val="28"/>
    </w:rPr>
  </w:style>
  <w:style w:type="paragraph" w:customStyle="1" w:styleId="171">
    <w:name w:val="标准文件_附录标题"/>
    <w:basedOn w:val="77"/>
    <w:qFormat/>
    <w:uiPriority w:val="0"/>
    <w:pPr>
      <w:numPr>
        <w:numId w:val="0"/>
      </w:numPr>
      <w:spacing w:after="280"/>
      <w:outlineLvl w:val="9"/>
    </w:pPr>
  </w:style>
  <w:style w:type="paragraph" w:customStyle="1" w:styleId="172">
    <w:name w:val="标准文件_二级项"/>
    <w:qFormat/>
    <w:uiPriority w:val="0"/>
    <w:rPr>
      <w:rFonts w:ascii="宋体" w:hAnsi="Times New Roman" w:eastAsia="宋体" w:cs="Times New Roman"/>
      <w:sz w:val="21"/>
      <w:lang w:val="en-US" w:eastAsia="zh-CN" w:bidi="ar-SA"/>
    </w:rPr>
  </w:style>
  <w:style w:type="paragraph" w:customStyle="1" w:styleId="173">
    <w:name w:val="标准文件_三级项"/>
    <w:basedOn w:val="1"/>
    <w:qFormat/>
    <w:uiPriority w:val="0"/>
    <w:pPr>
      <w:numPr>
        <w:ilvl w:val="2"/>
        <w:numId w:val="21"/>
      </w:numPr>
      <w:spacing w:line="536870612" w:lineRule="auto"/>
    </w:pPr>
    <w:rPr>
      <w:rFonts w:ascii="Times New Roman" w:hAnsi="Times New Roman"/>
    </w:rPr>
  </w:style>
  <w:style w:type="paragraph" w:customStyle="1" w:styleId="174">
    <w:name w:val="图表脚注说明"/>
    <w:basedOn w:val="1"/>
    <w:next w:val="57"/>
    <w:qFormat/>
    <w:uiPriority w:val="0"/>
    <w:pPr>
      <w:numPr>
        <w:ilvl w:val="0"/>
        <w:numId w:val="25"/>
      </w:numPr>
      <w:adjustRightInd/>
      <w:spacing w:line="240" w:lineRule="auto"/>
      <w:ind w:left="783"/>
    </w:pPr>
    <w:rPr>
      <w:rFonts w:ascii="宋体" w:hAnsi="Times New Roman"/>
      <w:sz w:val="18"/>
      <w:szCs w:val="18"/>
    </w:rPr>
  </w:style>
  <w:style w:type="paragraph" w:customStyle="1" w:styleId="175">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6">
    <w:name w:val="标准文件_索引字母"/>
    <w:next w:val="57"/>
    <w:qFormat/>
    <w:uiPriority w:val="0"/>
    <w:pPr>
      <w:jc w:val="center"/>
    </w:pPr>
    <w:rPr>
      <w:rFonts w:ascii="宋体" w:hAnsi="宋体" w:eastAsia="Times New Roman" w:cs="Times New Roman"/>
      <w:b/>
      <w:kern w:val="2"/>
      <w:sz w:val="21"/>
      <w:lang w:val="en-US" w:eastAsia="zh-CN" w:bidi="ar-SA"/>
    </w:rPr>
  </w:style>
  <w:style w:type="paragraph" w:customStyle="1" w:styleId="177">
    <w:name w:val="标准文件_附录前"/>
    <w:next w:val="5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8">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9">
    <w:name w:val="标准文件_表格"/>
    <w:basedOn w:val="57"/>
    <w:qFormat/>
    <w:uiPriority w:val="0"/>
    <w:pPr>
      <w:ind w:firstLine="0" w:firstLineChars="0"/>
      <w:jc w:val="center"/>
    </w:pPr>
    <w:rPr>
      <w:sz w:val="18"/>
    </w:rPr>
  </w:style>
  <w:style w:type="paragraph" w:customStyle="1" w:styleId="180">
    <w:name w:val="标准文件_注："/>
    <w:next w:val="5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示例："/>
    <w:next w:val="183"/>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3">
    <w:name w:val="标准文件_示例内容"/>
    <w:basedOn w:val="57"/>
    <w:qFormat/>
    <w:uiPriority w:val="0"/>
    <w:pPr>
      <w:ind w:firstLine="420"/>
    </w:pPr>
    <w:rPr>
      <w:sz w:val="18"/>
    </w:rPr>
  </w:style>
  <w:style w:type="paragraph" w:customStyle="1" w:styleId="184">
    <w:name w:val="标准文件_示例×："/>
    <w:basedOn w:val="1"/>
    <w:next w:val="183"/>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5">
    <w:name w:val="标准文件_段 Char"/>
    <w:link w:val="57"/>
    <w:qFormat/>
    <w:uiPriority w:val="0"/>
    <w:rPr>
      <w:rFonts w:ascii="Times New Roman" w:hAnsi="Times New Roman"/>
      <w:sz w:val="21"/>
    </w:rPr>
  </w:style>
  <w:style w:type="paragraph" w:customStyle="1" w:styleId="186">
    <w:name w:val="标准文件_表格续"/>
    <w:basedOn w:val="57"/>
    <w:next w:val="57"/>
    <w:qFormat/>
    <w:uiPriority w:val="0"/>
    <w:pPr>
      <w:jc w:val="center"/>
    </w:pPr>
    <w:rPr>
      <w:rFonts w:ascii="黑体" w:hAnsi="黑体" w:eastAsia="黑体"/>
    </w:rPr>
  </w:style>
  <w:style w:type="character" w:styleId="187">
    <w:name w:val="Placeholder Text"/>
    <w:basedOn w:val="29"/>
    <w:semiHidden/>
    <w:qFormat/>
    <w:uiPriority w:val="99"/>
    <w:rPr>
      <w:color w:val="808080"/>
    </w:rPr>
  </w:style>
  <w:style w:type="paragraph" w:customStyle="1" w:styleId="188">
    <w:name w:val="标准文件_二级项2"/>
    <w:basedOn w:val="57"/>
    <w:qFormat/>
    <w:uiPriority w:val="0"/>
    <w:pPr>
      <w:numPr>
        <w:ilvl w:val="1"/>
        <w:numId w:val="21"/>
      </w:numPr>
      <w:ind w:left="1271" w:hanging="420" w:firstLineChars="0"/>
    </w:pPr>
  </w:style>
  <w:style w:type="paragraph" w:customStyle="1" w:styleId="189">
    <w:name w:val="标准文件_三级项2"/>
    <w:basedOn w:val="57"/>
    <w:qFormat/>
    <w:uiPriority w:val="0"/>
    <w:pPr>
      <w:numPr>
        <w:ilvl w:val="0"/>
        <w:numId w:val="30"/>
      </w:numPr>
      <w:spacing w:line="300" w:lineRule="exact"/>
      <w:ind w:left="1276" w:hanging="425" w:firstLineChars="0"/>
    </w:pPr>
  </w:style>
  <w:style w:type="paragraph" w:customStyle="1" w:styleId="190">
    <w:name w:val="标准文件_一级项2"/>
    <w:basedOn w:val="57"/>
    <w:qFormat/>
    <w:uiPriority w:val="0"/>
    <w:pPr>
      <w:numPr>
        <w:ilvl w:val="0"/>
        <w:numId w:val="31"/>
      </w:numPr>
      <w:spacing w:line="300" w:lineRule="exact"/>
      <w:ind w:left="1271" w:hanging="420" w:firstLineChars="0"/>
    </w:pPr>
  </w:style>
  <w:style w:type="paragraph" w:customStyle="1" w:styleId="191">
    <w:name w:val="标准文件_提示"/>
    <w:basedOn w:val="57"/>
    <w:next w:val="57"/>
    <w:qFormat/>
    <w:uiPriority w:val="0"/>
    <w:pPr>
      <w:ind w:firstLine="420"/>
    </w:pPr>
    <w:rPr>
      <w:rFonts w:ascii="黑体" w:eastAsia="黑体"/>
    </w:rPr>
  </w:style>
  <w:style w:type="character" w:customStyle="1" w:styleId="192">
    <w:name w:val="标准文件_来源"/>
    <w:basedOn w:val="29"/>
    <w:qFormat/>
    <w:uiPriority w:val="1"/>
    <w:rPr>
      <w:rFonts w:eastAsia="宋体"/>
      <w:sz w:val="21"/>
    </w:rPr>
  </w:style>
  <w:style w:type="paragraph" w:customStyle="1" w:styleId="193">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4">
    <w:name w:val="其他发布日期"/>
    <w:basedOn w:val="121"/>
    <w:qFormat/>
    <w:uiPriority w:val="0"/>
    <w:pPr>
      <w:framePr w:w="3997" w:h="471" w:hRule="exact" w:hSpace="0" w:vSpace="181" w:wrap="around" w:vAnchor="page" w:hAnchor="page" w:x="1419" w:y="14097"/>
    </w:pPr>
  </w:style>
  <w:style w:type="paragraph" w:customStyle="1" w:styleId="195">
    <w:name w:val="其他实施日期"/>
    <w:basedOn w:val="155"/>
    <w:qFormat/>
    <w:uiPriority w:val="0"/>
    <w:pPr>
      <w:framePr w:w="3997" w:h="471" w:hRule="exact" w:vSpace="181" w:wrap="around" w:vAnchor="page" w:hAnchor="page" w:x="7089" w:y="14097"/>
    </w:pPr>
  </w:style>
  <w:style w:type="paragraph" w:customStyle="1" w:styleId="196">
    <w:name w:val="标准文件_文件编号"/>
    <w:basedOn w:val="5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7">
    <w:name w:val="标准文件_替换文件编号"/>
    <w:basedOn w:val="196"/>
    <w:qFormat/>
    <w:uiPriority w:val="0"/>
    <w:pPr>
      <w:framePr w:wrap="around"/>
      <w:spacing w:before="57"/>
    </w:pPr>
    <w:rPr>
      <w:sz w:val="21"/>
    </w:rPr>
  </w:style>
  <w:style w:type="paragraph" w:customStyle="1" w:styleId="198">
    <w:name w:val="标准文件_文件名称"/>
    <w:basedOn w:val="57"/>
    <w:next w:val="5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9">
    <w:name w:val="标准文件_附录图标号"/>
    <w:basedOn w:val="57"/>
    <w:next w:val="5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0">
    <w:name w:val="标准文件_附录表标号"/>
    <w:basedOn w:val="57"/>
    <w:next w:val="57"/>
    <w:qFormat/>
    <w:uiPriority w:val="0"/>
    <w:pPr>
      <w:numPr>
        <w:ilvl w:val="0"/>
        <w:numId w:val="5"/>
      </w:numPr>
      <w:spacing w:line="14" w:lineRule="exact"/>
      <w:ind w:firstLine="0" w:firstLineChars="0"/>
      <w:jc w:val="center"/>
    </w:pPr>
    <w:rPr>
      <w:rFonts w:eastAsia="黑体"/>
      <w:vanish/>
      <w:sz w:val="2"/>
    </w:rPr>
  </w:style>
  <w:style w:type="paragraph" w:customStyle="1" w:styleId="201">
    <w:name w:val="标准文件_引言一级条标题"/>
    <w:basedOn w:val="57"/>
    <w:next w:val="57"/>
    <w:qFormat/>
    <w:uiPriority w:val="0"/>
    <w:pPr>
      <w:numPr>
        <w:ilvl w:val="1"/>
        <w:numId w:val="8"/>
      </w:numPr>
      <w:spacing w:before="50" w:beforeLines="50" w:after="50" w:afterLines="50"/>
      <w:ind w:firstLineChars="0"/>
    </w:pPr>
    <w:rPr>
      <w:rFonts w:ascii="黑体" w:eastAsia="黑体"/>
    </w:rPr>
  </w:style>
  <w:style w:type="paragraph" w:customStyle="1" w:styleId="202">
    <w:name w:val="标准文件_引言二级条标题"/>
    <w:basedOn w:val="57"/>
    <w:next w:val="57"/>
    <w:qFormat/>
    <w:uiPriority w:val="0"/>
    <w:pPr>
      <w:numPr>
        <w:ilvl w:val="2"/>
        <w:numId w:val="8"/>
      </w:numPr>
      <w:spacing w:before="50" w:beforeLines="50" w:after="50" w:afterLines="50"/>
      <w:ind w:firstLineChars="0"/>
    </w:pPr>
    <w:rPr>
      <w:rFonts w:ascii="黑体" w:eastAsia="黑体"/>
    </w:rPr>
  </w:style>
  <w:style w:type="paragraph" w:customStyle="1" w:styleId="203">
    <w:name w:val="标准文件_引言三级条标题"/>
    <w:basedOn w:val="57"/>
    <w:next w:val="57"/>
    <w:qFormat/>
    <w:uiPriority w:val="0"/>
    <w:pPr>
      <w:numPr>
        <w:ilvl w:val="3"/>
        <w:numId w:val="8"/>
      </w:numPr>
      <w:spacing w:before="50" w:beforeLines="50" w:after="50" w:afterLines="50"/>
      <w:ind w:firstLineChars="0"/>
    </w:pPr>
    <w:rPr>
      <w:rFonts w:ascii="黑体" w:eastAsia="黑体"/>
    </w:rPr>
  </w:style>
  <w:style w:type="paragraph" w:customStyle="1" w:styleId="204">
    <w:name w:val="标准文件_引言四级条标题"/>
    <w:basedOn w:val="57"/>
    <w:next w:val="57"/>
    <w:qFormat/>
    <w:uiPriority w:val="0"/>
    <w:pPr>
      <w:numPr>
        <w:ilvl w:val="4"/>
        <w:numId w:val="8"/>
      </w:numPr>
      <w:spacing w:before="50" w:beforeLines="50" w:after="50" w:afterLines="50"/>
      <w:ind w:firstLineChars="0"/>
    </w:pPr>
    <w:rPr>
      <w:rFonts w:ascii="黑体" w:eastAsia="黑体"/>
    </w:rPr>
  </w:style>
  <w:style w:type="paragraph" w:customStyle="1" w:styleId="205">
    <w:name w:val="标准文件_引言五级条标题"/>
    <w:basedOn w:val="57"/>
    <w:next w:val="57"/>
    <w:qFormat/>
    <w:uiPriority w:val="0"/>
    <w:pPr>
      <w:numPr>
        <w:ilvl w:val="5"/>
        <w:numId w:val="8"/>
      </w:numPr>
      <w:spacing w:before="50" w:beforeLines="50" w:after="50" w:afterLines="50"/>
      <w:ind w:firstLineChars="0"/>
    </w:pPr>
    <w:rPr>
      <w:rFonts w:ascii="黑体" w:eastAsia="黑体"/>
    </w:rPr>
  </w:style>
  <w:style w:type="paragraph" w:customStyle="1" w:styleId="206">
    <w:name w:val="标准文件_注后"/>
    <w:basedOn w:val="57"/>
    <w:qFormat/>
    <w:uiPriority w:val="0"/>
    <w:pPr>
      <w:ind w:left="811" w:firstLine="0" w:firstLineChars="0"/>
    </w:pPr>
    <w:rPr>
      <w:sz w:val="18"/>
    </w:rPr>
  </w:style>
  <w:style w:type="paragraph" w:customStyle="1" w:styleId="207">
    <w:name w:val="标准文件_注X后"/>
    <w:basedOn w:val="57"/>
    <w:qFormat/>
    <w:uiPriority w:val="0"/>
    <w:pPr>
      <w:ind w:left="811" w:firstLine="0" w:firstLineChars="0"/>
    </w:pPr>
    <w:rPr>
      <w:sz w:val="18"/>
    </w:rPr>
  </w:style>
  <w:style w:type="paragraph" w:customStyle="1" w:styleId="208">
    <w:name w:val="标准文件_示例后"/>
    <w:basedOn w:val="57"/>
    <w:qFormat/>
    <w:uiPriority w:val="0"/>
    <w:pPr>
      <w:ind w:left="964" w:firstLine="0" w:firstLineChars="0"/>
    </w:pPr>
    <w:rPr>
      <w:sz w:val="18"/>
    </w:rPr>
  </w:style>
  <w:style w:type="paragraph" w:customStyle="1" w:styleId="209">
    <w:name w:val="标准文件_示例X后"/>
    <w:basedOn w:val="57"/>
    <w:link w:val="210"/>
    <w:qFormat/>
    <w:uiPriority w:val="0"/>
    <w:pPr>
      <w:ind w:left="1049" w:firstLine="0" w:firstLineChars="0"/>
    </w:pPr>
    <w:rPr>
      <w:rFonts w:ascii="宋体"/>
      <w:sz w:val="18"/>
    </w:rPr>
  </w:style>
  <w:style w:type="character" w:customStyle="1" w:styleId="210">
    <w:name w:val="标准文件_示例X后 字符"/>
    <w:basedOn w:val="185"/>
    <w:link w:val="209"/>
    <w:qFormat/>
    <w:uiPriority w:val="0"/>
    <w:rPr>
      <w:rFonts w:ascii="宋体" w:hAnsi="Times New Roman"/>
      <w:sz w:val="18"/>
    </w:rPr>
  </w:style>
  <w:style w:type="paragraph" w:customStyle="1" w:styleId="211">
    <w:name w:val="标准文件_索引项"/>
    <w:basedOn w:val="57"/>
    <w:next w:val="57"/>
    <w:qFormat/>
    <w:uiPriority w:val="0"/>
    <w:pPr>
      <w:tabs>
        <w:tab w:val="right" w:leader="dot" w:pos="9356"/>
      </w:tabs>
      <w:ind w:left="210" w:hanging="210" w:firstLineChars="0"/>
      <w:jc w:val="left"/>
    </w:pPr>
  </w:style>
  <w:style w:type="paragraph" w:customStyle="1" w:styleId="212">
    <w:name w:val="标准文件_附录一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二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三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四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五级无标题"/>
    <w:basedOn w:val="85"/>
    <w:qFormat/>
    <w:uiPriority w:val="0"/>
    <w:pPr>
      <w:spacing w:before="0" w:beforeLines="0" w:after="0" w:afterLines="0" w:line="276" w:lineRule="auto"/>
      <w:outlineLvl w:val="9"/>
    </w:pPr>
    <w:rPr>
      <w:rFonts w:ascii="宋体" w:eastAsia="宋体"/>
    </w:rPr>
  </w:style>
  <w:style w:type="paragraph" w:customStyle="1" w:styleId="217">
    <w:name w:val="标准文件_引言一级无标题"/>
    <w:basedOn w:val="201"/>
    <w:next w:val="57"/>
    <w:qFormat/>
    <w:uiPriority w:val="0"/>
    <w:pPr>
      <w:spacing w:before="0" w:beforeLines="0" w:after="0" w:afterLines="0" w:line="276" w:lineRule="auto"/>
    </w:pPr>
    <w:rPr>
      <w:rFonts w:ascii="宋体" w:eastAsia="宋体"/>
    </w:rPr>
  </w:style>
  <w:style w:type="paragraph" w:customStyle="1" w:styleId="218">
    <w:name w:val="标准文件_引言二级无标题"/>
    <w:basedOn w:val="202"/>
    <w:next w:val="57"/>
    <w:qFormat/>
    <w:uiPriority w:val="0"/>
    <w:pPr>
      <w:spacing w:before="0" w:beforeLines="0" w:after="0" w:afterLines="0" w:line="276" w:lineRule="auto"/>
    </w:pPr>
    <w:rPr>
      <w:rFonts w:ascii="宋体" w:eastAsia="宋体"/>
    </w:rPr>
  </w:style>
  <w:style w:type="paragraph" w:customStyle="1" w:styleId="219">
    <w:name w:val="标准文件_引言三级无标题"/>
    <w:basedOn w:val="203"/>
    <w:qFormat/>
    <w:uiPriority w:val="0"/>
    <w:pPr>
      <w:spacing w:before="0" w:beforeLines="0" w:after="0" w:afterLines="0" w:line="276" w:lineRule="auto"/>
    </w:pPr>
    <w:rPr>
      <w:rFonts w:ascii="宋体" w:eastAsia="宋体"/>
    </w:rPr>
  </w:style>
  <w:style w:type="paragraph" w:customStyle="1" w:styleId="220">
    <w:name w:val="标准文件_引言四级无标题"/>
    <w:basedOn w:val="204"/>
    <w:next w:val="57"/>
    <w:qFormat/>
    <w:uiPriority w:val="0"/>
    <w:pPr>
      <w:spacing w:before="0" w:beforeLines="0" w:after="0" w:afterLines="0" w:line="276" w:lineRule="auto"/>
    </w:pPr>
    <w:rPr>
      <w:rFonts w:ascii="宋体" w:eastAsia="宋体"/>
    </w:rPr>
  </w:style>
  <w:style w:type="paragraph" w:customStyle="1" w:styleId="221">
    <w:name w:val="标准文件_引言五级无标题"/>
    <w:basedOn w:val="205"/>
    <w:next w:val="57"/>
    <w:qFormat/>
    <w:uiPriority w:val="0"/>
    <w:pPr>
      <w:spacing w:before="0" w:beforeLines="0" w:after="0" w:afterLines="0" w:line="276" w:lineRule="auto"/>
    </w:pPr>
    <w:rPr>
      <w:rFonts w:ascii="宋体" w:eastAsia="宋体"/>
    </w:rPr>
  </w:style>
  <w:style w:type="paragraph" w:customStyle="1" w:styleId="222">
    <w:name w:val="标准文件_索引标题"/>
    <w:basedOn w:val="64"/>
    <w:next w:val="57"/>
    <w:qFormat/>
    <w:uiPriority w:val="0"/>
    <w:rPr>
      <w:rFonts w:hAnsi="黑体"/>
    </w:rPr>
  </w:style>
  <w:style w:type="paragraph" w:customStyle="1" w:styleId="223">
    <w:name w:val="标准文件_脚注内容"/>
    <w:basedOn w:val="57"/>
    <w:qFormat/>
    <w:uiPriority w:val="0"/>
    <w:pPr>
      <w:ind w:left="400" w:leftChars="200" w:hanging="200" w:hangingChars="200"/>
    </w:pPr>
    <w:rPr>
      <w:sz w:val="15"/>
    </w:rPr>
  </w:style>
  <w:style w:type="paragraph" w:customStyle="1" w:styleId="224">
    <w:name w:val="标准文件_术语条一"/>
    <w:basedOn w:val="163"/>
    <w:next w:val="57"/>
    <w:qFormat/>
    <w:uiPriority w:val="0"/>
  </w:style>
  <w:style w:type="paragraph" w:customStyle="1" w:styleId="225">
    <w:name w:val="标准文件_术语条二"/>
    <w:basedOn w:val="166"/>
    <w:next w:val="57"/>
    <w:qFormat/>
    <w:uiPriority w:val="0"/>
  </w:style>
  <w:style w:type="paragraph" w:customStyle="1" w:styleId="226">
    <w:name w:val="标准文件_术语条三"/>
    <w:basedOn w:val="165"/>
    <w:next w:val="57"/>
    <w:qFormat/>
    <w:uiPriority w:val="0"/>
  </w:style>
  <w:style w:type="paragraph" w:customStyle="1" w:styleId="227">
    <w:name w:val="标准文件_术语条四"/>
    <w:basedOn w:val="168"/>
    <w:next w:val="57"/>
    <w:qFormat/>
    <w:uiPriority w:val="0"/>
  </w:style>
  <w:style w:type="paragraph" w:customStyle="1" w:styleId="228">
    <w:name w:val="标准文件_术语条五"/>
    <w:basedOn w:val="164"/>
    <w:next w:val="57"/>
    <w:qFormat/>
    <w:uiPriority w:val="0"/>
  </w:style>
  <w:style w:type="paragraph" w:customStyle="1" w:styleId="229">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0">
    <w:name w:val="发布"/>
    <w:basedOn w:val="29"/>
    <w:qFormat/>
    <w:uiPriority w:val="0"/>
    <w:rPr>
      <w:rFonts w:ascii="黑体" w:eastAsia="黑体"/>
      <w:spacing w:val="85"/>
      <w:w w:val="100"/>
      <w:position w:val="3"/>
      <w:sz w:val="28"/>
      <w:szCs w:val="28"/>
    </w:rPr>
  </w:style>
  <w:style w:type="paragraph" w:customStyle="1" w:styleId="231">
    <w:name w:val="样式1"/>
    <w:basedOn w:val="2"/>
    <w:qFormat/>
    <w:uiPriority w:val="0"/>
    <w:pPr>
      <w:spacing w:after="0"/>
      <w:ind w:firstLine="424" w:firstLineChars="202"/>
    </w:pPr>
    <w:rPr>
      <w:rFonts w:ascii="宋体"/>
      <w:kern w:val="0"/>
      <w:szCs w:val="20"/>
    </w:rPr>
  </w:style>
  <w:style w:type="paragraph" w:customStyle="1" w:styleId="232">
    <w:name w:val="标准"/>
    <w:basedOn w:val="1"/>
    <w:qFormat/>
    <w:uiPriority w:val="0"/>
    <w:pPr>
      <w:spacing w:before="120" w:line="336" w:lineRule="auto"/>
      <w:jc w:val="center"/>
    </w:pPr>
    <w:rPr>
      <w:rFonts w:hint="eastAsia" w:ascii="黑体" w:eastAsia="黑体" w:hAnsiTheme="minorHAnsi" w:cstheme="minorBidi"/>
      <w:szCs w:val="20"/>
    </w:rPr>
  </w:style>
  <w:style w:type="paragraph" w:styleId="233">
    <w:name w:val="List Paragraph"/>
    <w:basedOn w:val="1"/>
    <w:qFormat/>
    <w:uiPriority w:val="99"/>
    <w:pPr>
      <w:ind w:firstLine="420" w:firstLineChars="200"/>
    </w:pPr>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glossaryDocument" Target="glossary/document.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1.xml"/><Relationship Id="rId24" Type="http://schemas.openxmlformats.org/officeDocument/2006/relationships/footer" Target="footer10.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reatwall/C:\Program%20Files%20(x86)\StandardEditor\template\&#34892;&#19994;&#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61EF255349BF4879A401D1F653C32D58"/>
        <w:style w:val=""/>
        <w:category>
          <w:name w:val="常规"/>
          <w:gallery w:val="placeholder"/>
        </w:category>
        <w:types>
          <w:type w:val="bbPlcHdr"/>
        </w:types>
        <w:behaviors>
          <w:behavior w:val="content"/>
        </w:behaviors>
        <w:description w:val=""/>
        <w:guid w:val="{35C85775-AC3F-4420-A387-EE90A1418157}"/>
      </w:docPartPr>
      <w:docPartBody>
        <w:p w14:paraId="6718EB90">
          <w:pPr>
            <w:pStyle w:val="5"/>
          </w:pPr>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273"/>
    <w:rsid w:val="000B036E"/>
    <w:rsid w:val="001D0006"/>
    <w:rsid w:val="00273933"/>
    <w:rsid w:val="002C5A3B"/>
    <w:rsid w:val="00325F0C"/>
    <w:rsid w:val="00345002"/>
    <w:rsid w:val="00356EA6"/>
    <w:rsid w:val="00404C9C"/>
    <w:rsid w:val="00486C59"/>
    <w:rsid w:val="0049622A"/>
    <w:rsid w:val="0051109F"/>
    <w:rsid w:val="005910FE"/>
    <w:rsid w:val="005944F6"/>
    <w:rsid w:val="00643DC8"/>
    <w:rsid w:val="0064533D"/>
    <w:rsid w:val="0066296C"/>
    <w:rsid w:val="00756273"/>
    <w:rsid w:val="007A0B89"/>
    <w:rsid w:val="007C6BF3"/>
    <w:rsid w:val="00896E06"/>
    <w:rsid w:val="009A6CCD"/>
    <w:rsid w:val="00A2486E"/>
    <w:rsid w:val="00AA6F1E"/>
    <w:rsid w:val="00B35300"/>
    <w:rsid w:val="00C308D6"/>
    <w:rsid w:val="00EC2E2C"/>
    <w:rsid w:val="00F07EDD"/>
    <w:rsid w:val="00FB2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1EF255349BF4879A401D1F653C32D5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931ECC-4537-43EF-9EE0-14421125762C}">
  <ds:schemaRefs/>
</ds:datastoreItem>
</file>

<file path=docProps/app.xml><?xml version="1.0" encoding="utf-8"?>
<Properties xmlns="http://schemas.openxmlformats.org/officeDocument/2006/extended-properties" xmlns:vt="http://schemas.openxmlformats.org/officeDocument/2006/docPropsVTypes">
  <Template>行业标准.dotx</Template>
  <Pages>36</Pages>
  <Words>3211</Words>
  <Characters>18308</Characters>
  <Lines>152</Lines>
  <Paragraphs>42</Paragraphs>
  <TotalTime>8</TotalTime>
  <ScaleCrop>false</ScaleCrop>
  <LinksUpToDate>false</LinksUpToDate>
  <CharactersWithSpaces>21477</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2026-09-28T08:31:00Z</dcterms:created>
  <dc:creator>张宇琳</dc:creator>
  <cp:lastModifiedBy>greatwall</cp:lastModifiedBy>
  <cp:lastPrinted>2026-09-20T15:42:00Z</cp:lastPrinted>
  <dcterms:modified xsi:type="dcterms:W3CDTF">2026-10-16T10:40:59Z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22EBAA8907A94687855D00F394D75FE9_13</vt:lpwstr>
  </property>
  <property fmtid="{D5CDD505-2E9C-101B-9397-08002B2CF9AE}" pid="15" name="KSOTemplateDocerSaveRecord">
    <vt:lpwstr>eyJoZGlkIjoiZDIwOTA4ZDkyODAwMWQwN2YxMzk2NmVjZGI2MTMxZDkiLCJ1c2VySWQiOiI2MDAzNjcyNTgifQ==</vt:lpwstr>
  </property>
  <property fmtid="{D5CDD505-2E9C-101B-9397-08002B2CF9AE}" pid="16" name="KSOProductBuildVer">
    <vt:lpwstr>2052-12.1.2.24720</vt:lpwstr>
  </property>
  <property fmtid="{D5CDD505-2E9C-101B-9397-08002B2CF9AE}" pid="17" name="DoublePage">
    <vt:lpwstr>false</vt:lpwstr>
  </property>
</Properties>
</file>