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E3DB9F5">
      <w:pPr>
        <w:pStyle w:val="123"/>
        <w:widowControl w:val="0"/>
        <w:spacing w:line="440" w:lineRule="exact"/>
        <w:rPr>
          <w:rFonts w:hint="eastAsia" w:eastAsia="宋体"/>
          <w:highlight w:val="none"/>
          <w:lang w:eastAsia="zh-CN"/>
        </w:rPr>
        <w:sectPr>
          <w:headerReference r:id="rId3" w:type="default"/>
          <w:footerReference r:id="rId5" w:type="default"/>
          <w:headerReference r:id="rId4" w:type="even"/>
          <w:footerReference r:id="rId6" w:type="even"/>
          <w:pgSz w:w="11907" w:h="16839"/>
          <w:pgMar w:top="510" w:right="850" w:bottom="964" w:left="1417" w:header="0" w:footer="0" w:gutter="0"/>
          <w:pgNumType w:fmt="upperRoman" w:start="1"/>
          <w:cols w:space="0" w:num="1"/>
          <w:titlePg/>
          <w:docGrid w:type="lines" w:linePitch="312" w:charSpace="0"/>
        </w:sectPr>
      </w:pPr>
      <w:bookmarkStart w:id="0" w:name="SectionMark0"/>
      <w:bookmarkStart w:id="1" w:name="_Toc5401"/>
      <w:bookmarkStart w:id="2" w:name="_Toc7189"/>
      <w:bookmarkStart w:id="3" w:name="_Toc16209"/>
      <w:r>
        <w:rPr>
          <w:highlight w:val="none"/>
        </w:rPr>
        <mc:AlternateContent>
          <mc:Choice Requires="wps">
            <w:drawing>
              <wp:anchor distT="0" distB="0" distL="114300" distR="114300" simplePos="0" relativeHeight="251700224" behindDoc="0" locked="0" layoutInCell="1" hidden="1" allowOverlap="1">
                <wp:simplePos x="0" y="0"/>
                <wp:positionH relativeFrom="column">
                  <wp:posOffset>4351655</wp:posOffset>
                </wp:positionH>
                <wp:positionV relativeFrom="paragraph">
                  <wp:posOffset>9629140</wp:posOffset>
                </wp:positionV>
                <wp:extent cx="107950" cy="0"/>
                <wp:effectExtent l="0" t="0" r="0" b="0"/>
                <wp:wrapNone/>
                <wp:docPr id="58" name="直接连接符 58" hidden="1"/>
                <wp:cNvGraphicFramePr/>
                <a:graphic xmlns:a="http://schemas.openxmlformats.org/drawingml/2006/main">
                  <a:graphicData uri="http://schemas.microsoft.com/office/word/2010/wordprocessingShape">
                    <wps:wsp>
                      <wps:cNvCnPr/>
                      <wps:spPr>
                        <a:xfrm>
                          <a:off x="5232400" y="9967595"/>
                          <a:ext cx="10795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342.65pt;margin-top:758.2pt;height:0pt;width:8.5pt;visibility:hidden;z-index:251700224;mso-width-relative:page;mso-height-relative:page;" filled="f" stroked="t" coordsize="21600,21600" o:gfxdata="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BgnwhHZAAAADQEAAA8AAAAAAAAAAQAgAAAAIgAAAGRycy9kb3ducmV2&#10;LnhtbFBLAQIUABQAAAAIAIdO4kBRWt3V+wEAAMkDAAAOAAAAAAAAAAEAIAAAACgBAABkcnMvZTJv&#10;RG9jLnhtbFBLBQYAAAAABgAGAFkBAACVBQ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99200" behindDoc="0" locked="0" layoutInCell="1" hidden="1" allowOverlap="1">
                <wp:simplePos x="0" y="0"/>
                <wp:positionH relativeFrom="column">
                  <wp:posOffset>3826510</wp:posOffset>
                </wp:positionH>
                <wp:positionV relativeFrom="paragraph">
                  <wp:posOffset>9600565</wp:posOffset>
                </wp:positionV>
                <wp:extent cx="360045" cy="0"/>
                <wp:effectExtent l="0" t="0" r="0" b="0"/>
                <wp:wrapNone/>
                <wp:docPr id="57" name="直接连接符 57" hidden="1"/>
                <wp:cNvGraphicFramePr/>
                <a:graphic xmlns:a="http://schemas.openxmlformats.org/drawingml/2006/main">
                  <a:graphicData uri="http://schemas.microsoft.com/office/word/2010/wordprocessingShape">
                    <wps:wsp>
                      <wps:cNvCnPr/>
                      <wps:spPr>
                        <a:xfrm>
                          <a:off x="4827270" y="9933940"/>
                          <a:ext cx="36004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301.3pt;margin-top:755.95pt;height:0pt;width:28.35pt;visibility:hidden;z-index:251699200;mso-width-relative:page;mso-height-relative:page;" filled="f" stroked="t" coordsize="21600,21600" o:gfxdata="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Oru/QfYAAAADQEAAA8AAAAAAAAAAQAgAAAAIgAAAGRycy9kb3ducmV2&#10;LnhtbFBLAQIUABQAAAAIAIdO4kD0X5V9/AEAAMkDAAAOAAAAAAAAAAEAIAAAACcBAABkcnMvZTJv&#10;RG9jLnhtbFBLBQYAAAAABgAGAFkBAACVBQ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98176" behindDoc="0" locked="0" layoutInCell="1" hidden="1" allowOverlap="1">
                <wp:simplePos x="0" y="0"/>
                <wp:positionH relativeFrom="column">
                  <wp:posOffset>3536315</wp:posOffset>
                </wp:positionH>
                <wp:positionV relativeFrom="paragraph">
                  <wp:posOffset>9645650</wp:posOffset>
                </wp:positionV>
                <wp:extent cx="0" cy="720090"/>
                <wp:effectExtent l="4445" t="0" r="14605" b="3810"/>
                <wp:wrapNone/>
                <wp:docPr id="56" name="直接连接符 56" hidden="1"/>
                <wp:cNvGraphicFramePr/>
                <a:graphic xmlns:a="http://schemas.openxmlformats.org/drawingml/2006/main">
                  <a:graphicData uri="http://schemas.microsoft.com/office/word/2010/wordprocessingShape">
                    <wps:wsp>
                      <wps:cNvCnPr/>
                      <wps:spPr>
                        <a:xfrm>
                          <a:off x="2389505" y="9799320"/>
                          <a:ext cx="0" cy="72009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278.45pt;margin-top:759.5pt;height:56.7pt;width:0pt;visibility:hidden;z-index:251698176;mso-width-relative:page;mso-height-relative:page;" filled="f" stroked="t" coordsize="21600,21600" o:gfxdata="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JMSXn2QAAAA0BAAAPAAAAAAAAAAEAIAAAACIAAABkcnMvZG93bnJl&#10;di54bWxQSwECFAAUAAAACACHTuJApS2IZPwBAADJAwAADgAAAAAAAAABACAAAAAoAQAAZHJzL2Uy&#10;b0RvYy54bWxQSwUGAAAAAAYABgBZAQAAlgU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67456" behindDoc="0" locked="0" layoutInCell="1" allowOverlap="1">
                <wp:simplePos x="0" y="0"/>
                <wp:positionH relativeFrom="column">
                  <wp:posOffset>-635</wp:posOffset>
                </wp:positionH>
                <wp:positionV relativeFrom="paragraph">
                  <wp:posOffset>8915400</wp:posOffset>
                </wp:positionV>
                <wp:extent cx="6121400" cy="0"/>
                <wp:effectExtent l="15240" t="15240" r="6985" b="13335"/>
                <wp:wrapNone/>
                <wp:docPr id="1019017552" name="Line 27"/>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chemeClr val="tx1"/>
                          </a:solidFill>
                          <a:round/>
                        </a:ln>
                      </wps:spPr>
                      <wps:bodyPr/>
                    </wps:wsp>
                  </a:graphicData>
                </a:graphic>
              </wp:anchor>
            </w:drawing>
          </mc:Choice>
          <mc:Fallback>
            <w:pict>
              <v:line id="Line 27" o:spid="_x0000_s1026" o:spt="20" style="position:absolute;left:0pt;margin-left:-0.05pt;margin-top:702pt;height:0pt;width:482pt;z-index:251667456;mso-width-relative:page;mso-height-relative:page;" filled="f" stroked="t" coordsize="21600,21600" o:gfxdata="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5loR59cAAAALAQAADwAAAAAAAAABACAAAAAiAAAA&#10;ZHJzL2Rvd25yZXYueG1sUEsBAhQAFAAAAAgAh07iQIr6MuHPAQAAqgMAAA4AAAAAAAAAAQAgAAAA&#10;JgEAAGRycy9lMm9Eb2MueG1sUEsFBgAAAAAGAAYAWQEAAGcFAAAAAA==&#10;">
                <v:fill on="f" focussize="0,0"/>
                <v:stroke weight="1pt" color="#000000 [3213]" joinstyle="round"/>
                <v:imagedata o:title=""/>
                <o:lock v:ext="edit" aspectratio="f"/>
              </v:line>
            </w:pict>
          </mc:Fallback>
        </mc:AlternateContent>
      </w:r>
      <w:r>
        <w:rPr>
          <w:highlight w:val="none"/>
        </w:rPr>
        <mc:AlternateContent>
          <mc:Choice Requires="wps">
            <w:drawing>
              <wp:anchor distT="0" distB="0" distL="114300" distR="114300" simplePos="0" relativeHeight="251697152" behindDoc="0" locked="0" layoutInCell="1" hidden="1" allowOverlap="1">
                <wp:simplePos x="0" y="0"/>
                <wp:positionH relativeFrom="column">
                  <wp:posOffset>311785</wp:posOffset>
                </wp:positionH>
                <wp:positionV relativeFrom="paragraph">
                  <wp:posOffset>8924925</wp:posOffset>
                </wp:positionV>
                <wp:extent cx="0" cy="1440180"/>
                <wp:effectExtent l="4445" t="0" r="14605" b="7620"/>
                <wp:wrapNone/>
                <wp:docPr id="55" name="直接连接符 55" hidden="1"/>
                <wp:cNvGraphicFramePr/>
                <a:graphic xmlns:a="http://schemas.openxmlformats.org/drawingml/2006/main">
                  <a:graphicData uri="http://schemas.microsoft.com/office/word/2010/wordprocessingShape">
                    <wps:wsp>
                      <wps:cNvCnPr/>
                      <wps:spPr>
                        <a:xfrm>
                          <a:off x="1280795" y="9201150"/>
                          <a:ext cx="0" cy="144018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24.55pt;margin-top:702.75pt;height:113.4pt;width:0pt;visibility:hidden;z-index:251697152;mso-width-relative:page;mso-height-relative:page;" filled="f" stroked="t" coordsize="21600,21600" o:gfxdata="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Jmd7ZjYAAAACwEAAA8AAAAAAAAAAQAgAAAAIgAAAGRycy9kb3ducmV2&#10;LnhtbFBLAQIUABQAAAAIAIdO4kDL5mNN/AEAAMoDAAAOAAAAAAAAAAEAIAAAACcBAABkcnMvZTJv&#10;RG9jLnhtbFBLBQYAAAAABgAGAFkBAACVBQ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96128" behindDoc="0" locked="0" layoutInCell="1" hidden="1" allowOverlap="1">
                <wp:simplePos x="0" y="0"/>
                <wp:positionH relativeFrom="column">
                  <wp:posOffset>5139690</wp:posOffset>
                </wp:positionH>
                <wp:positionV relativeFrom="paragraph">
                  <wp:posOffset>1452880</wp:posOffset>
                </wp:positionV>
                <wp:extent cx="0" cy="323850"/>
                <wp:effectExtent l="4445" t="0" r="14605" b="0"/>
                <wp:wrapNone/>
                <wp:docPr id="54" name="直接连接符 54" hidden="1"/>
                <wp:cNvGraphicFramePr/>
                <a:graphic xmlns:a="http://schemas.openxmlformats.org/drawingml/2006/main">
                  <a:graphicData uri="http://schemas.microsoft.com/office/word/2010/wordprocessingShape">
                    <wps:wsp>
                      <wps:cNvCnPr/>
                      <wps:spPr>
                        <a:xfrm>
                          <a:off x="6123305" y="1776730"/>
                          <a:ext cx="0" cy="32385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404.7pt;margin-top:114.4pt;height:25.5pt;width:0pt;visibility:hidden;z-index:251696128;mso-width-relative:page;mso-height-relative:page;" filled="f" stroked="t" coordsize="21600,21600" o:gfxdata="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aeJlS2AAAAAsBAAAPAAAAAAAAAAEAIAAAACIAAABkcnMvZG93bnJldi54&#10;bWxQSwECFAAUAAAACACHTuJA1tbwjPoBAADJAwAADgAAAAAAAAABACAAAAAnAQAAZHJzL2Uyb0Rv&#10;Yy54bWxQSwUGAAAAAAYABgBZAQAAkwU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94080" behindDoc="0" locked="0" layoutInCell="1" hidden="1" allowOverlap="1">
                <wp:simplePos x="0" y="0"/>
                <wp:positionH relativeFrom="column">
                  <wp:posOffset>3779520</wp:posOffset>
                </wp:positionH>
                <wp:positionV relativeFrom="paragraph">
                  <wp:posOffset>4690110</wp:posOffset>
                </wp:positionV>
                <wp:extent cx="0" cy="360045"/>
                <wp:effectExtent l="4445" t="0" r="14605" b="1905"/>
                <wp:wrapNone/>
                <wp:docPr id="50" name="直接连接符 50" hidden="1"/>
                <wp:cNvGraphicFramePr/>
                <a:graphic xmlns:a="http://schemas.openxmlformats.org/drawingml/2006/main">
                  <a:graphicData uri="http://schemas.microsoft.com/office/word/2010/wordprocessingShape">
                    <wps:wsp>
                      <wps:cNvCnPr/>
                      <wps:spPr>
                        <a:xfrm>
                          <a:off x="4696460" y="5002530"/>
                          <a:ext cx="0" cy="36004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297.6pt;margin-top:369.3pt;height:28.35pt;width:0pt;visibility:hidden;z-index:251694080;mso-width-relative:page;mso-height-relative:page;" filled="f" stroked="t" coordsize="21600,21600" o:gfxdata="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CAuEX3YAAAACwEAAA8AAAAAAAAAAQAgAAAAIgAAAGRycy9kb3ducmV2Lnht&#10;bFBLAQIUABQAAAAIAIdO4kBHyGuE+QEAAMkDAAAOAAAAAAAAAAEAIAAAACcBAABkcnMvZTJvRG9j&#10;LnhtbFBLBQYAAAAABgAGAFkBAACSBQ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95104" behindDoc="0" locked="0" layoutInCell="1" hidden="1" allowOverlap="1">
                <wp:simplePos x="0" y="0"/>
                <wp:positionH relativeFrom="column">
                  <wp:posOffset>5045710</wp:posOffset>
                </wp:positionH>
                <wp:positionV relativeFrom="paragraph">
                  <wp:posOffset>2382520</wp:posOffset>
                </wp:positionV>
                <wp:extent cx="0" cy="1440180"/>
                <wp:effectExtent l="4445" t="0" r="14605" b="7620"/>
                <wp:wrapNone/>
                <wp:docPr id="35" name="直接连接符 35" hidden="1"/>
                <wp:cNvGraphicFramePr/>
                <a:graphic xmlns:a="http://schemas.openxmlformats.org/drawingml/2006/main">
                  <a:graphicData uri="http://schemas.microsoft.com/office/word/2010/wordprocessingShape">
                    <wps:wsp>
                      <wps:cNvCnPr/>
                      <wps:spPr>
                        <a:xfrm>
                          <a:off x="0" y="0"/>
                          <a:ext cx="0" cy="144018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397.3pt;margin-top:187.6pt;height:113.4pt;width:0pt;visibility:hidden;z-index:251695104;mso-width-relative:page;mso-height-relative:page;" filled="f" stroked="t" coordsize="21600,21600" o:gfxdata="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14C1c2QAAAAsBAAAPAAAAAAAAAAEAIAAAACIAAABkcnMvZG93bnJldi54bWxQSwECFAAU&#10;AAAACACHTuJAWDHklvABAAC+AwAADgAAAAAAAAABACAAAAAoAQAAZHJzL2Uyb0RvYy54bWxQSwUG&#10;AAAAAAYABgBZAQAAigU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93056" behindDoc="0" locked="0" layoutInCell="1" hidden="1" allowOverlap="1">
                <wp:simplePos x="0" y="0"/>
                <wp:positionH relativeFrom="column">
                  <wp:posOffset>5933440</wp:posOffset>
                </wp:positionH>
                <wp:positionV relativeFrom="paragraph">
                  <wp:posOffset>1890395</wp:posOffset>
                </wp:positionV>
                <wp:extent cx="179705" cy="0"/>
                <wp:effectExtent l="0" t="0" r="0" b="0"/>
                <wp:wrapNone/>
                <wp:docPr id="49" name="直接连接符 49" hidden="1"/>
                <wp:cNvGraphicFramePr/>
                <a:graphic xmlns:a="http://schemas.openxmlformats.org/drawingml/2006/main">
                  <a:graphicData uri="http://schemas.microsoft.com/office/word/2010/wordprocessingShape">
                    <wps:wsp>
                      <wps:cNvCnPr/>
                      <wps:spPr>
                        <a:xfrm flipH="1">
                          <a:off x="6742430" y="2519045"/>
                          <a:ext cx="17970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flip:x;margin-left:467.2pt;margin-top:148.85pt;height:0pt;width:14.15pt;visibility:hidden;z-index:251693056;mso-width-relative:page;mso-height-relative:page;" filled="f" stroked="t" coordsize="21600,21600" o:gfxdata="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MPgxFraAAAACwEAAA8AAAAAAAAAAQAgAAAAIgAA&#10;AGRycy9kb3ducmV2LnhtbFBLAQIUABQAAAAIAIdO4kDs5iDGBgIAANMDAAAOAAAAAAAAAAEAIAAA&#10;ACkBAABkcnMvZTJvRG9jLnhtbFBLBQYAAAAABgAGAFkBAAChBQ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92032" behindDoc="0" locked="0" layoutInCell="1" hidden="1" allowOverlap="1">
                <wp:simplePos x="0" y="0"/>
                <wp:positionH relativeFrom="column">
                  <wp:posOffset>6114415</wp:posOffset>
                </wp:positionH>
                <wp:positionV relativeFrom="paragraph">
                  <wp:posOffset>862330</wp:posOffset>
                </wp:positionV>
                <wp:extent cx="0" cy="1511935"/>
                <wp:effectExtent l="4445" t="0" r="14605" b="12065"/>
                <wp:wrapNone/>
                <wp:docPr id="47" name="直接连接符 47" hidden="1"/>
                <wp:cNvGraphicFramePr/>
                <a:graphic xmlns:a="http://schemas.openxmlformats.org/drawingml/2006/main">
                  <a:graphicData uri="http://schemas.microsoft.com/office/word/2010/wordprocessingShape">
                    <wps:wsp>
                      <wps:cNvCnPr/>
                      <wps:spPr>
                        <a:xfrm>
                          <a:off x="0" y="0"/>
                          <a:ext cx="0" cy="151193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481.45pt;margin-top:67.9pt;height:119.05pt;width:0pt;visibility:hidden;z-index:251692032;mso-width-relative:page;mso-height-relative:page;" filled="f" stroked="t" coordsize="21600,21600" o:gfxdata="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Na8+xHYAAAACwEAAA8AAAAAAAAAAQAgAAAAIgAAAGRycy9kb3ducmV2LnhtbFBLAQIUABQA&#10;AAAIAIdO4kAki3Og8AEAAL4DAAAOAAAAAAAAAAEAIAAAACcBAABkcnMvZTJvRG9jLnhtbFBLBQYA&#10;AAAABgAGAFkBAACJBQ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87936" behindDoc="0" locked="0" layoutInCell="1" hidden="1" allowOverlap="1">
                <wp:simplePos x="0" y="0"/>
                <wp:positionH relativeFrom="column">
                  <wp:posOffset>5006975</wp:posOffset>
                </wp:positionH>
                <wp:positionV relativeFrom="paragraph">
                  <wp:posOffset>144145</wp:posOffset>
                </wp:positionV>
                <wp:extent cx="0" cy="720090"/>
                <wp:effectExtent l="4445" t="0" r="14605" b="3810"/>
                <wp:wrapNone/>
                <wp:docPr id="38" name="直接连接符 38" hidden="1"/>
                <wp:cNvGraphicFramePr/>
                <a:graphic xmlns:a="http://schemas.openxmlformats.org/drawingml/2006/main">
                  <a:graphicData uri="http://schemas.microsoft.com/office/word/2010/wordprocessingShape">
                    <wps:wsp>
                      <wps:cNvCnPr/>
                      <wps:spPr>
                        <a:xfrm>
                          <a:off x="5897245" y="509270"/>
                          <a:ext cx="0" cy="72009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394.25pt;margin-top:11.35pt;height:56.7pt;width:0pt;visibility:hidden;z-index:251687936;mso-width-relative:page;mso-height-relative:page;" filled="f" stroked="t" coordsize="21600,21600" o:gfxdata="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2w7B6NgAAAAKAQAADwAAAAAAAAABACAAAAAiAAAAZHJzL2Rvd25yZXYu&#10;eG1sUEsBAhQAFAAAAAgAh07iQGoUmlD7AQAAyAMAAA4AAAAAAAAAAQAgAAAAJwEAAGRycy9lMm9E&#10;b2MueG1sUEsFBgAAAAAGAAYAWQEAAJQFA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91008" behindDoc="0" locked="0" layoutInCell="1" hidden="1" allowOverlap="1">
                <wp:simplePos x="0" y="0"/>
                <wp:positionH relativeFrom="column">
                  <wp:posOffset>5004435</wp:posOffset>
                </wp:positionH>
                <wp:positionV relativeFrom="paragraph">
                  <wp:posOffset>140335</wp:posOffset>
                </wp:positionV>
                <wp:extent cx="1656080" cy="0"/>
                <wp:effectExtent l="0" t="0" r="0" b="0"/>
                <wp:wrapNone/>
                <wp:docPr id="46" name="直接连接符 46" hidden="1"/>
                <wp:cNvGraphicFramePr/>
                <a:graphic xmlns:a="http://schemas.openxmlformats.org/drawingml/2006/main">
                  <a:graphicData uri="http://schemas.microsoft.com/office/word/2010/wordprocessingShape">
                    <wps:wsp>
                      <wps:cNvCnPr/>
                      <wps:spPr>
                        <a:xfrm>
                          <a:off x="0" y="0"/>
                          <a:ext cx="165608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394.05pt;margin-top:11.05pt;height:0pt;width:130.4pt;visibility:hidden;z-index:251691008;mso-width-relative:page;mso-height-relative:page;" filled="f" stroked="t" coordsize="21600,21600" o:gfxdata="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GkLms/XAAAACgEAAA8AAAAAAAAAAQAgAAAAIgAAAGRycy9kb3ducmV2LnhtbFBLAQIUABQAAAAI&#10;AIdO4kBAMC5d7gEAAL4DAAAOAAAAAAAAAAEAIAAAACYBAABkcnMvZTJvRG9jLnhtbFBLBQYAAAAA&#10;BgAGAFkBAACGBQ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89984" behindDoc="0" locked="0" layoutInCell="1" hidden="1" allowOverlap="1">
                <wp:simplePos x="0" y="0"/>
                <wp:positionH relativeFrom="column">
                  <wp:posOffset>5173345</wp:posOffset>
                </wp:positionH>
                <wp:positionV relativeFrom="paragraph">
                  <wp:posOffset>-330200</wp:posOffset>
                </wp:positionV>
                <wp:extent cx="0" cy="467995"/>
                <wp:effectExtent l="4445" t="0" r="14605" b="8255"/>
                <wp:wrapNone/>
                <wp:docPr id="45" name="直接连接符 45" hidden="1"/>
                <wp:cNvGraphicFramePr/>
                <a:graphic xmlns:a="http://schemas.openxmlformats.org/drawingml/2006/main">
                  <a:graphicData uri="http://schemas.microsoft.com/office/word/2010/wordprocessingShape">
                    <wps:wsp>
                      <wps:cNvCnPr/>
                      <wps:spPr>
                        <a:xfrm flipV="1">
                          <a:off x="6195060" y="-16510"/>
                          <a:ext cx="0" cy="46799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flip:y;margin-left:407.35pt;margin-top:-26pt;height:36.85pt;width:0pt;visibility:hidden;z-index:251689984;mso-width-relative:page;mso-height-relative:page;" filled="f" stroked="t" coordsize="21600,21600" o:gfxdata="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QOCwI2QAAAAoBAAAPAAAAAAAAAAEAIAAAACIAAABkcnMv&#10;ZG93bnJldi54bWxQSwECFAAUAAAACACHTuJAySUktwICAADSAwAADgAAAAAAAAABACAAAAAoAQAA&#10;ZHJzL2Uyb0RvYy54bWxQSwUGAAAAAAYABgBZAQAAnAU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86912" behindDoc="0" locked="0" layoutInCell="1" hidden="1" allowOverlap="1">
                <wp:simplePos x="0" y="0"/>
                <wp:positionH relativeFrom="column">
                  <wp:posOffset>4296410</wp:posOffset>
                </wp:positionH>
                <wp:positionV relativeFrom="paragraph">
                  <wp:posOffset>866775</wp:posOffset>
                </wp:positionV>
                <wp:extent cx="1440180" cy="0"/>
                <wp:effectExtent l="0" t="0" r="0" b="0"/>
                <wp:wrapNone/>
                <wp:docPr id="34" name="直接连接符 34" hidden="1"/>
                <wp:cNvGraphicFramePr/>
                <a:graphic xmlns:a="http://schemas.openxmlformats.org/drawingml/2006/main">
                  <a:graphicData uri="http://schemas.microsoft.com/office/word/2010/wordprocessingShape">
                    <wps:wsp>
                      <wps:cNvCnPr/>
                      <wps:spPr>
                        <a:xfrm>
                          <a:off x="5217795" y="1084580"/>
                          <a:ext cx="144018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338.3pt;margin-top:68.25pt;height:0pt;width:113.4pt;visibility:hidden;z-index:251686912;mso-width-relative:page;mso-height-relative:page;" filled="f" stroked="t" coordsize="21600,21600" o:gfxdata="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91B+bdcAAAALAQAADwAAAAAAAAABACAAAAAiAAAAZHJzL2Rvd25yZXYu&#10;eG1sUEsBAhQAFAAAAAgAh07iQBvgCPL8AQAAygMAAA4AAAAAAAAAAQAgAAAAJgEAAGRycy9lMm9E&#10;b2MueG1sUEsFBgAAAAAGAAYAWQEAAJQFA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85888" behindDoc="0" locked="0" layoutInCell="1" hidden="1" allowOverlap="1">
                <wp:simplePos x="0" y="0"/>
                <wp:positionH relativeFrom="column">
                  <wp:posOffset>5663565</wp:posOffset>
                </wp:positionH>
                <wp:positionV relativeFrom="paragraph">
                  <wp:posOffset>862330</wp:posOffset>
                </wp:positionV>
                <wp:extent cx="0" cy="1511935"/>
                <wp:effectExtent l="4445" t="0" r="14605" b="12065"/>
                <wp:wrapNone/>
                <wp:docPr id="33" name="直接连接符 33" hidden="1"/>
                <wp:cNvGraphicFramePr/>
                <a:graphic xmlns:a="http://schemas.openxmlformats.org/drawingml/2006/main">
                  <a:graphicData uri="http://schemas.microsoft.com/office/word/2010/wordprocessingShape">
                    <wps:wsp>
                      <wps:cNvCnPr/>
                      <wps:spPr>
                        <a:xfrm>
                          <a:off x="0" y="0"/>
                          <a:ext cx="0" cy="151193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445.95pt;margin-top:67.9pt;height:119.05pt;width:0pt;visibility:hidden;z-index:251685888;mso-width-relative:page;mso-height-relative:page;" filled="f" stroked="t" coordsize="21600,21600" o:gfxdata="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W1x4hdgAAAALAQAADwAAAAAAAAABACAAAAAiAAAAZHJzL2Rvd25yZXYueG1sUEsBAhQAFAAA&#10;AAgAh07iQCFfLJvvAQAAvgMAAA4AAAAAAAAAAQAgAAAAJwEAAGRycy9lMm9Eb2MueG1sUEsFBgAA&#10;AAAGAAYAWQEAAIgFA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82816" behindDoc="0" locked="0" layoutInCell="1" hidden="1" allowOverlap="1">
                <wp:simplePos x="0" y="0"/>
                <wp:positionH relativeFrom="column">
                  <wp:posOffset>-900430</wp:posOffset>
                </wp:positionH>
                <wp:positionV relativeFrom="paragraph">
                  <wp:posOffset>2369820</wp:posOffset>
                </wp:positionV>
                <wp:extent cx="899795" cy="0"/>
                <wp:effectExtent l="0" t="0" r="0" b="0"/>
                <wp:wrapNone/>
                <wp:docPr id="29" name="直接连接符 29" hidden="1"/>
                <wp:cNvGraphicFramePr/>
                <a:graphic xmlns:a="http://schemas.openxmlformats.org/drawingml/2006/main">
                  <a:graphicData uri="http://schemas.microsoft.com/office/word/2010/wordprocessingShape">
                    <wps:wsp>
                      <wps:cNvCnPr/>
                      <wps:spPr>
                        <a:xfrm>
                          <a:off x="0" y="0"/>
                          <a:ext cx="89979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70.9pt;margin-top:186.6pt;height:0pt;width:70.85pt;visibility:hidden;z-index:251682816;mso-width-relative:page;mso-height-relative:page;" filled="f" stroked="t" coordsize="21600,21600" o:gfxdata="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9+yvj2AAAAAoBAAAPAAAAAAAAAAEAIAAAACIAAABkcnMvZG93bnJldi54bWxQSwECFAAUAAAA&#10;CACHTuJA8RRMCe4BAAC9AwAADgAAAAAAAAABACAAAAAnAQAAZHJzL2Uyb0RvYy54bWxQSwUGAAAA&#10;AAYABgBZAQAAhwU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88960" behindDoc="0" locked="0" layoutInCell="1" hidden="1" allowOverlap="1">
                <wp:simplePos x="0" y="0"/>
                <wp:positionH relativeFrom="column">
                  <wp:posOffset>-288290</wp:posOffset>
                </wp:positionH>
                <wp:positionV relativeFrom="paragraph">
                  <wp:posOffset>-327025</wp:posOffset>
                </wp:positionV>
                <wp:extent cx="0" cy="2700020"/>
                <wp:effectExtent l="4445" t="0" r="14605" b="5080"/>
                <wp:wrapNone/>
                <wp:docPr id="44" name="直接连接符 44" hidden="1"/>
                <wp:cNvGraphicFramePr/>
                <a:graphic xmlns:a="http://schemas.openxmlformats.org/drawingml/2006/main">
                  <a:graphicData uri="http://schemas.microsoft.com/office/word/2010/wordprocessingShape">
                    <wps:wsp>
                      <wps:cNvCnPr/>
                      <wps:spPr>
                        <a:xfrm flipV="1">
                          <a:off x="6088380" y="1270"/>
                          <a:ext cx="0" cy="270002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flip:y;margin-left:-22.7pt;margin-top:-25.75pt;height:212.6pt;width:0pt;visibility:hidden;z-index:251688960;mso-width-relative:page;mso-height-relative:page;" filled="f" stroked="t" coordsize="21600,21600" o:gfxdata="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D5EEFHaAAAACwEAAA8AAAAAAAAAAQAgAAAAIgAAAGRycy9kb3du&#10;cmV2LnhtbFBLAQIUABQAAAAIAIdO4kAFZQb8/QEAANEDAAAOAAAAAAAAAAEAIAAAACkBAABkcnMv&#10;ZTJvRG9jLnhtbFBLBQYAAAAABgAGAFkBAACYBQ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83840" behindDoc="0" locked="0" layoutInCell="1" hidden="1" allowOverlap="1">
                <wp:simplePos x="0" y="0"/>
                <wp:positionH relativeFrom="column">
                  <wp:posOffset>635</wp:posOffset>
                </wp:positionH>
                <wp:positionV relativeFrom="paragraph">
                  <wp:posOffset>1191895</wp:posOffset>
                </wp:positionV>
                <wp:extent cx="0" cy="289560"/>
                <wp:effectExtent l="4445" t="0" r="14605" b="15240"/>
                <wp:wrapNone/>
                <wp:docPr id="30" name="直接连接符 30" hidden="1"/>
                <wp:cNvGraphicFramePr/>
                <a:graphic xmlns:a="http://schemas.openxmlformats.org/drawingml/2006/main">
                  <a:graphicData uri="http://schemas.microsoft.com/office/word/2010/wordprocessingShape">
                    <wps:wsp>
                      <wps:cNvCnPr/>
                      <wps:spPr>
                        <a:xfrm>
                          <a:off x="1047115" y="1391920"/>
                          <a:ext cx="0" cy="28956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0.05pt;margin-top:93.85pt;height:22.8pt;width:0pt;visibility:hidden;z-index:251683840;mso-width-relative:page;mso-height-relative:page;" filled="f" stroked="t" coordsize="21600,21600" o:gfxdata="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DaAJLfUAAAABQEAAA8AAAAAAAAAAQAgAAAAIgAAAGRycy9kb3ducmV2LnhtbFBL&#10;AQIUABQAAAAIAIdO4kDFGSZt+gEAAMkDAAAOAAAAAAAAAAEAIAAAACMBAABkcnMvZTJvRG9jLnht&#10;bFBLBQYAAAAABgAGAFkBAACPBQ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81792" behindDoc="0" locked="0" layoutInCell="1" hidden="1" allowOverlap="1">
                <wp:simplePos x="0" y="0"/>
                <wp:positionH relativeFrom="column">
                  <wp:posOffset>-900430</wp:posOffset>
                </wp:positionH>
                <wp:positionV relativeFrom="paragraph">
                  <wp:posOffset>1311275</wp:posOffset>
                </wp:positionV>
                <wp:extent cx="899795" cy="0"/>
                <wp:effectExtent l="0" t="0" r="0" b="0"/>
                <wp:wrapNone/>
                <wp:docPr id="28" name="直接连接符 28" hidden="1"/>
                <wp:cNvGraphicFramePr/>
                <a:graphic xmlns:a="http://schemas.openxmlformats.org/drawingml/2006/main">
                  <a:graphicData uri="http://schemas.microsoft.com/office/word/2010/wordprocessingShape">
                    <wps:wsp>
                      <wps:cNvCnPr/>
                      <wps:spPr>
                        <a:xfrm>
                          <a:off x="0" y="0"/>
                          <a:ext cx="89979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70.9pt;margin-top:103.25pt;height:0pt;width:70.85pt;visibility:hidden;z-index:251681792;mso-width-relative:page;mso-height-relative:page;" filled="f" stroked="t" coordsize="21600,21600" o:gfxdata="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U3g+vXAAAACgEAAA8AAAAAAAAAAQAgAAAAIgAAAGRycy9kb3ducmV2LnhtbFBLAQIUABQAAAAI&#10;AIdO4kDxdDgF7gEAAL0DAAAOAAAAAAAAAAEAIAAAACYBAABkcnMvZTJvRG9jLnhtbFBLBQYAAAAA&#10;BgAGAFkBAACGBQ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84864" behindDoc="0" locked="0" layoutInCell="1" hidden="1" allowOverlap="1">
                <wp:simplePos x="0" y="0"/>
                <wp:positionH relativeFrom="column">
                  <wp:posOffset>117475</wp:posOffset>
                </wp:positionH>
                <wp:positionV relativeFrom="paragraph">
                  <wp:posOffset>1461135</wp:posOffset>
                </wp:positionV>
                <wp:extent cx="0" cy="899795"/>
                <wp:effectExtent l="4445" t="0" r="14605" b="14605"/>
                <wp:wrapNone/>
                <wp:docPr id="31" name="直接连接符 31" hidden="1"/>
                <wp:cNvGraphicFramePr/>
                <a:graphic xmlns:a="http://schemas.openxmlformats.org/drawingml/2006/main">
                  <a:graphicData uri="http://schemas.microsoft.com/office/word/2010/wordprocessingShape">
                    <wps:wsp>
                      <wps:cNvCnPr/>
                      <wps:spPr>
                        <a:xfrm>
                          <a:off x="1028700" y="1658620"/>
                          <a:ext cx="0" cy="89979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9.25pt;margin-top:115.05pt;height:70.85pt;width:0pt;visibility:hidden;z-index:251684864;mso-width-relative:page;mso-height-relative:page;" filled="f" stroked="t" coordsize="21600,21600" o:gfxdata="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8Zybp1wAAAAkBAAAPAAAAAAAAAAEAIAAAACIAAABkcnMvZG93bnJldi54bWxQ&#10;SwECFAAUAAAACACHTuJAnWAJPvgBAADJAwAADgAAAAAAAAABACAAAAAmAQAAZHJzL2Uyb0RvYy54&#10;bWxQSwUGAAAAAAYABgBZAQAAkAU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66432" behindDoc="0" locked="0" layoutInCell="1" allowOverlap="1">
                <wp:simplePos x="0" y="0"/>
                <wp:positionH relativeFrom="column">
                  <wp:posOffset>0</wp:posOffset>
                </wp:positionH>
                <wp:positionV relativeFrom="paragraph">
                  <wp:posOffset>2374900</wp:posOffset>
                </wp:positionV>
                <wp:extent cx="6120130" cy="635"/>
                <wp:effectExtent l="0" t="0" r="0" b="0"/>
                <wp:wrapNone/>
                <wp:docPr id="1301502083" name="Line 26"/>
                <wp:cNvGraphicFramePr/>
                <a:graphic xmlns:a="http://schemas.openxmlformats.org/drawingml/2006/main">
                  <a:graphicData uri="http://schemas.microsoft.com/office/word/2010/wordprocessingShape">
                    <wps:wsp>
                      <wps:cNvCnPr>
                        <a:cxnSpLocks noChangeShapeType="1"/>
                      </wps:cNvCnPr>
                      <wps:spPr bwMode="auto">
                        <a:xfrm>
                          <a:off x="0" y="0"/>
                          <a:ext cx="6120130" cy="635"/>
                        </a:xfrm>
                        <a:prstGeom prst="line">
                          <a:avLst/>
                        </a:prstGeom>
                        <a:noFill/>
                        <a:ln w="12700">
                          <a:solidFill>
                            <a:schemeClr val="tx1"/>
                          </a:solidFill>
                          <a:round/>
                        </a:ln>
                      </wps:spPr>
                      <wps:bodyPr/>
                    </wps:wsp>
                  </a:graphicData>
                </a:graphic>
              </wp:anchor>
            </w:drawing>
          </mc:Choice>
          <mc:Fallback>
            <w:pict>
              <v:line id="Line 26" o:spid="_x0000_s1026" o:spt="20" style="position:absolute;left:0pt;margin-left:0pt;margin-top:187pt;height:0.05pt;width:481.9pt;z-index:251666432;mso-width-relative:page;mso-height-relative:page;" filled="f" stroked="t" coordsize="21600,21600" o:gfxdata="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75LI42AAAAAgBAAAPAAAAAAAAAAEAIAAA&#10;ACIAAABkcnMvZG93bnJldi54bWxQSwECFAAUAAAACACHTuJAc4N/kdMBAACsAwAADgAAAAAAAAAB&#10;ACAAAAAnAQAAZHJzL2Uyb0RvYy54bWxQSwUGAAAAAAYABgBZAQAAbAUAAAAA&#10;">
                <v:fill on="f" focussize="0,0"/>
                <v:stroke weight="1pt" color="#000000 [3213]" joinstyle="round"/>
                <v:imagedata o:title=""/>
                <o:lock v:ext="edit" aspectratio="f"/>
              </v:line>
            </w:pict>
          </mc:Fallback>
        </mc:AlternateContent>
      </w:r>
      <w:r>
        <w:rPr>
          <w:highlight w:val="none"/>
        </w:rPr>
        <w:drawing>
          <wp:inline distT="0" distB="0" distL="114300" distR="114300">
            <wp:extent cx="1685925" cy="723900"/>
            <wp:effectExtent l="0" t="0" r="9525" b="0"/>
            <wp:docPr id="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
                    <pic:cNvPicPr>
                      <a:picLocks noChangeAspect="1"/>
                    </pic:cNvPicPr>
                  </pic:nvPicPr>
                  <pic:blipFill>
                    <a:blip r:embed="rId35"/>
                    <a:stretch>
                      <a:fillRect/>
                    </a:stretch>
                  </pic:blipFill>
                  <pic:spPr>
                    <a:xfrm>
                      <a:off x="0" y="0"/>
                      <a:ext cx="1685925" cy="723900"/>
                    </a:xfrm>
                    <a:prstGeom prst="rect">
                      <a:avLst/>
                    </a:prstGeom>
                    <a:noFill/>
                    <a:ln>
                      <a:noFill/>
                    </a:ln>
                  </pic:spPr>
                </pic:pic>
              </a:graphicData>
            </a:graphic>
          </wp:inline>
        </w:drawing>
      </w:r>
      <w:r>
        <w:rPr>
          <w:highlight w:val="none"/>
        </w:rPr>
        <mc:AlternateContent>
          <mc:Choice Requires="wps">
            <w:drawing>
              <wp:anchor distT="0" distB="0" distL="114300" distR="114300" simplePos="0" relativeHeight="251671552" behindDoc="0" locked="0" layoutInCell="1" hidden="1" allowOverlap="1">
                <wp:simplePos x="0" y="0"/>
                <wp:positionH relativeFrom="column">
                  <wp:posOffset>-900430</wp:posOffset>
                </wp:positionH>
                <wp:positionV relativeFrom="paragraph">
                  <wp:posOffset>266700</wp:posOffset>
                </wp:positionV>
                <wp:extent cx="899795" cy="0"/>
                <wp:effectExtent l="0" t="0" r="0" b="0"/>
                <wp:wrapNone/>
                <wp:docPr id="27" name="直接连接符 27" hidden="1"/>
                <wp:cNvGraphicFramePr/>
                <a:graphic xmlns:a="http://schemas.openxmlformats.org/drawingml/2006/main">
                  <a:graphicData uri="http://schemas.microsoft.com/office/word/2010/wordprocessingShape">
                    <wps:wsp>
                      <wps:cNvCnPr/>
                      <wps:spPr>
                        <a:xfrm>
                          <a:off x="34925" y="347980"/>
                          <a:ext cx="89979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70.9pt;margin-top:21pt;height:0pt;width:70.85pt;visibility:hidden;z-index:251671552;mso-width-relative:page;mso-height-relative:page;" filled="f" stroked="t" coordsize="21600,21600" o:gfxdata="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OJ7RevWAAAACAEAAA8AAAAAAAAAAQAgAAAAIgAAAGRycy9kb3ducmV2LnhtbFBL&#10;AQIUABQAAAAIAIdO4kDkFN0d+AEAAMYDAAAOAAAAAAAAAAEAIAAAACUBAABkcnMvZTJvRG9jLnht&#10;bFBLBQYAAAAABgAGAFkBAACPBQ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69504" behindDoc="0" locked="0" layoutInCell="1" hidden="1" allowOverlap="1">
                <wp:simplePos x="0" y="0"/>
                <wp:positionH relativeFrom="column">
                  <wp:posOffset>-14605</wp:posOffset>
                </wp:positionH>
                <wp:positionV relativeFrom="paragraph">
                  <wp:posOffset>36195</wp:posOffset>
                </wp:positionV>
                <wp:extent cx="876300" cy="0"/>
                <wp:effectExtent l="0" t="0" r="0" b="0"/>
                <wp:wrapNone/>
                <wp:docPr id="24" name="直接连接符 24" hidden="1"/>
                <wp:cNvGraphicFramePr/>
                <a:graphic xmlns:a="http://schemas.openxmlformats.org/drawingml/2006/main">
                  <a:graphicData uri="http://schemas.microsoft.com/office/word/2010/wordprocessingShape">
                    <wps:wsp>
                      <wps:cNvCnPr/>
                      <wps:spPr>
                        <a:xfrm>
                          <a:off x="893445" y="404495"/>
                          <a:ext cx="87630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1.15pt;margin-top:2.85pt;height:0pt;width:69pt;visibility:hidden;z-index:251669504;mso-width-relative:page;mso-height-relative:page;" filled="f" stroked="t" coordsize="21600,21600" o:gfxdata="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80Vwb1AAAAAYBAAAPAAAAAAAAAAEAIAAAACIAAABkcnMvZG93bnJldi54bWxQ&#10;SwECFAAUAAAACACHTuJAV1uLZfsBAADHAwAADgAAAAAAAAABACAAAAAjAQAAZHJzL2Uyb0RvYy54&#10;bWxQSwUGAAAAAAYABgBZAQAAkAU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70528" behindDoc="0" locked="0" layoutInCell="1" hidden="1" allowOverlap="1">
                <wp:simplePos x="0" y="0"/>
                <wp:positionH relativeFrom="column">
                  <wp:posOffset>391160</wp:posOffset>
                </wp:positionH>
                <wp:positionV relativeFrom="paragraph">
                  <wp:posOffset>-325120</wp:posOffset>
                </wp:positionV>
                <wp:extent cx="0" cy="360045"/>
                <wp:effectExtent l="4445" t="0" r="14605" b="1905"/>
                <wp:wrapNone/>
                <wp:docPr id="26" name="直接连接符 26" hidden="1"/>
                <wp:cNvGraphicFramePr/>
                <a:graphic xmlns:a="http://schemas.openxmlformats.org/drawingml/2006/main">
                  <a:graphicData uri="http://schemas.microsoft.com/office/word/2010/wordprocessingShape">
                    <wps:wsp>
                      <wps:cNvCnPr/>
                      <wps:spPr>
                        <a:xfrm flipV="1">
                          <a:off x="1388745" y="-8255"/>
                          <a:ext cx="0" cy="36004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flip:y;margin-left:30.8pt;margin-top:-25.6pt;height:28.35pt;width:0pt;visibility:hidden;z-index:251670528;mso-width-relative:page;mso-height-relative:page;" filled="f" stroked="t" coordsize="21600,21600" o:gfxdata="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yW6kj9YAAAAHAQAADwAAAAAAAAABACAAAAAiAAAAZHJzL2Rvd25y&#10;ZXYueG1sUEsBAhQAFAAAAAgAh07iQPPoSf0AAgAA0QMAAA4AAAAAAAAAAQAgAAAAJQEAAGRycy9l&#10;Mm9Eb2MueG1sUEsFBgAAAAAGAAYAWQEAAJcFA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68480" behindDoc="0" locked="1" layoutInCell="1" allowOverlap="1">
                <wp:simplePos x="0" y="0"/>
                <wp:positionH relativeFrom="margin">
                  <wp:posOffset>0</wp:posOffset>
                </wp:positionH>
                <wp:positionV relativeFrom="margin">
                  <wp:posOffset>9427845</wp:posOffset>
                </wp:positionV>
                <wp:extent cx="6120130" cy="363220"/>
                <wp:effectExtent l="0" t="0" r="1270" b="5080"/>
                <wp:wrapNone/>
                <wp:docPr id="2097859855" name="fmFrame7"/>
                <wp:cNvGraphicFramePr/>
                <a:graphic xmlns:a="http://schemas.openxmlformats.org/drawingml/2006/main">
                  <a:graphicData uri="http://schemas.microsoft.com/office/word/2010/wordprocessingShape">
                    <wps:wsp>
                      <wps:cNvSpPr txBox="1">
                        <a:spLocks noChangeArrowheads="1"/>
                      </wps:cNvSpPr>
                      <wps:spPr bwMode="auto">
                        <a:xfrm>
                          <a:off x="0" y="0"/>
                          <a:ext cx="6120130" cy="363220"/>
                        </a:xfrm>
                        <a:prstGeom prst="rect">
                          <a:avLst/>
                        </a:prstGeom>
                        <a:solidFill>
                          <a:srgbClr val="FFFFFF"/>
                        </a:solidFill>
                        <a:ln>
                          <a:noFill/>
                        </a:ln>
                      </wps:spPr>
                      <wps:txbx>
                        <w:txbxContent>
                          <w:p w14:paraId="081A9C2E">
                            <w:pPr>
                              <w:pStyle w:val="105"/>
                              <w:adjustRightInd w:val="0"/>
                              <w:snapToGrid w:val="0"/>
                              <w:spacing w:line="240" w:lineRule="auto"/>
                              <w:rPr>
                                <w:b/>
                                <w:color w:val="auto"/>
                              </w:rPr>
                            </w:pPr>
                            <w:r>
                              <w:rPr>
                                <w:rFonts w:hint="eastAsia"/>
                                <w:b/>
                                <w:bCs/>
                                <w:color w:val="auto"/>
                                <w:spacing w:val="0"/>
                                <w:w w:val="100"/>
                                <w:sz w:val="32"/>
                                <w:szCs w:val="32"/>
                              </w:rPr>
                              <w:t>中华人民共和国应急管理部</w:t>
                            </w:r>
                            <w:r>
                              <w:rPr>
                                <w:rFonts w:hint="eastAsia"/>
                                <w:b/>
                                <w:color w:val="auto"/>
                                <w:sz w:val="21"/>
                                <w:szCs w:val="21"/>
                              </w:rPr>
                              <w:t xml:space="preserve">   </w:t>
                            </w:r>
                            <w:r>
                              <w:rPr>
                                <w:rStyle w:val="48"/>
                                <w:rFonts w:hint="eastAsia"/>
                                <w:b/>
                                <w:bCs/>
                                <w:color w:val="auto"/>
                                <w:spacing w:val="74"/>
                                <w:position w:val="2"/>
                              </w:rPr>
                              <w:t>发布</w:t>
                            </w:r>
                          </w:p>
                          <w:p w14:paraId="548AF721"/>
                        </w:txbxContent>
                      </wps:txbx>
                      <wps:bodyPr rot="0" vert="horz" wrap="square" lIns="0" tIns="0" rIns="0" bIns="0" anchor="ctr" anchorCtr="0" upright="1">
                        <a:noAutofit/>
                      </wps:bodyPr>
                    </wps:wsp>
                  </a:graphicData>
                </a:graphic>
              </wp:anchor>
            </w:drawing>
          </mc:Choice>
          <mc:Fallback>
            <w:pict>
              <v:shape id="fmFrame7" o:spid="_x0000_s1026" o:spt="202" type="#_x0000_t202" style="position:absolute;left:0pt;margin-left:0pt;margin-top:742.35pt;height:28.6pt;width:481.9pt;mso-position-horizontal-relative:margin;mso-position-vertical-relative:margin;z-index:251668480;v-text-anchor:middle;mso-width-relative:page;mso-height-relative:page;" fillcolor="#FFFFFF" filled="t" stroked="f" coordsize="21600,21600" o:gfxdata="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rI5vCdgAAAAKAQAA&#10;DwAAAAAAAAABACAAAAAiAAAAZHJzL2Rvd25yZXYueG1sUEsBAhQAFAAAAAgAh07iQCu9Qq8ZAgAA&#10;NgQAAA4AAAAAAAAAAQAgAAAAJwEAAGRycy9lMm9Eb2MueG1sUEsFBgAAAAAGAAYAWQEAALIFAAAA&#10;AA==&#10;">
                <v:fill on="t" focussize="0,0"/>
                <v:stroke on="f"/>
                <v:imagedata o:title=""/>
                <o:lock v:ext="edit" aspectratio="f"/>
                <v:textbox inset="0mm,0mm,0mm,0mm">
                  <w:txbxContent>
                    <w:p w14:paraId="081A9C2E">
                      <w:pPr>
                        <w:pStyle w:val="105"/>
                        <w:adjustRightInd w:val="0"/>
                        <w:snapToGrid w:val="0"/>
                        <w:spacing w:line="240" w:lineRule="auto"/>
                        <w:rPr>
                          <w:b/>
                          <w:color w:val="auto"/>
                        </w:rPr>
                      </w:pPr>
                      <w:r>
                        <w:rPr>
                          <w:rFonts w:hint="eastAsia"/>
                          <w:b/>
                          <w:bCs/>
                          <w:color w:val="auto"/>
                          <w:spacing w:val="0"/>
                          <w:w w:val="100"/>
                          <w:sz w:val="32"/>
                          <w:szCs w:val="32"/>
                        </w:rPr>
                        <w:t>中华人民共和国应急管理部</w:t>
                      </w:r>
                      <w:r>
                        <w:rPr>
                          <w:rFonts w:hint="eastAsia"/>
                          <w:b/>
                          <w:color w:val="auto"/>
                          <w:sz w:val="21"/>
                          <w:szCs w:val="21"/>
                        </w:rPr>
                        <w:t xml:space="preserve">   </w:t>
                      </w:r>
                      <w:r>
                        <w:rPr>
                          <w:rStyle w:val="48"/>
                          <w:rFonts w:hint="eastAsia"/>
                          <w:b/>
                          <w:bCs/>
                          <w:color w:val="auto"/>
                          <w:spacing w:val="74"/>
                          <w:position w:val="2"/>
                        </w:rPr>
                        <w:t>发布</w:t>
                      </w:r>
                    </w:p>
                    <w:p w14:paraId="548AF721"/>
                  </w:txbxContent>
                </v:textbox>
                <w10:anchorlock/>
              </v:shape>
            </w:pict>
          </mc:Fallback>
        </mc:AlternateContent>
      </w:r>
      <w:r>
        <w:rPr>
          <w:highlight w:val="none"/>
        </w:rPr>
        <mc:AlternateContent>
          <mc:Choice Requires="wps">
            <w:drawing>
              <wp:anchor distT="0" distB="0" distL="114300" distR="114300" simplePos="0" relativeHeight="251665408" behindDoc="0" locked="1" layoutInCell="1" allowOverlap="1">
                <wp:simplePos x="0" y="0"/>
                <wp:positionH relativeFrom="margin">
                  <wp:posOffset>4100830</wp:posOffset>
                </wp:positionH>
                <wp:positionV relativeFrom="margin">
                  <wp:posOffset>8552180</wp:posOffset>
                </wp:positionV>
                <wp:extent cx="2019300" cy="360045"/>
                <wp:effectExtent l="0" t="0" r="0" b="1905"/>
                <wp:wrapNone/>
                <wp:docPr id="801740871" name="fmFrame6"/>
                <wp:cNvGraphicFramePr/>
                <a:graphic xmlns:a="http://schemas.openxmlformats.org/drawingml/2006/main">
                  <a:graphicData uri="http://schemas.microsoft.com/office/word/2010/wordprocessingShape">
                    <wps:wsp>
                      <wps:cNvSpPr txBox="1">
                        <a:spLocks noChangeArrowheads="1"/>
                      </wps:cNvSpPr>
                      <wps:spPr bwMode="auto">
                        <a:xfrm>
                          <a:off x="0" y="0"/>
                          <a:ext cx="2019300" cy="360045"/>
                        </a:xfrm>
                        <a:prstGeom prst="rect">
                          <a:avLst/>
                        </a:prstGeom>
                        <a:solidFill>
                          <a:srgbClr val="FFFFFF"/>
                        </a:solidFill>
                        <a:ln>
                          <a:noFill/>
                        </a:ln>
                      </wps:spPr>
                      <wps:txbx>
                        <w:txbxContent>
                          <w:p w14:paraId="4559AE91">
                            <w:pPr>
                              <w:pStyle w:val="98"/>
                              <w:rPr>
                                <w:rFonts w:ascii="黑体"/>
                                <w:b/>
                              </w:rPr>
                            </w:pPr>
                            <w:r>
                              <w:rPr>
                                <w:rFonts w:hint="eastAsia" w:ascii="黑体"/>
                                <w:b/>
                              </w:rPr>
                              <w:t>××××-××-××实施</w:t>
                            </w:r>
                          </w:p>
                        </w:txbxContent>
                      </wps:txbx>
                      <wps:bodyPr rot="0" vert="horz" wrap="square" lIns="0" tIns="0" rIns="0" bIns="0" anchor="ctr" anchorCtr="0" upright="1">
                        <a:noAutofit/>
                      </wps:bodyPr>
                    </wps:wsp>
                  </a:graphicData>
                </a:graphic>
              </wp:anchor>
            </w:drawing>
          </mc:Choice>
          <mc:Fallback>
            <w:pict>
              <v:shape id="fmFrame6" o:spid="_x0000_s1026" o:spt="202" type="#_x0000_t202" style="position:absolute;left:0pt;margin-left:322.9pt;margin-top:673.4pt;height:28.35pt;width:159pt;mso-position-horizontal-relative:margin;mso-position-vertical-relative:margin;z-index:251665408;v-text-anchor:middle;mso-width-relative:page;mso-height-relative:page;" fillcolor="#FFFFFF" filled="t" stroked="f" coordsize="21600,21600" o:gfxdata="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1uz3R9kAAAANAQAA&#10;DwAAAAAAAAABACAAAAAiAAAAZHJzL2Rvd25yZXYueG1sUEsBAhQAFAAAAAgAh07iQBZO68EYAgAA&#10;NQQAAA4AAAAAAAAAAQAgAAAAKAEAAGRycy9lMm9Eb2MueG1sUEsFBgAAAAAGAAYAWQEAALIFAAAA&#10;AA==&#10;">
                <v:fill on="t" focussize="0,0"/>
                <v:stroke on="f"/>
                <v:imagedata o:title=""/>
                <o:lock v:ext="edit" aspectratio="f"/>
                <v:textbox inset="0mm,0mm,0mm,0mm">
                  <w:txbxContent>
                    <w:p w14:paraId="4559AE91">
                      <w:pPr>
                        <w:pStyle w:val="98"/>
                        <w:rPr>
                          <w:rFonts w:ascii="黑体"/>
                          <w:b/>
                        </w:rPr>
                      </w:pPr>
                      <w:r>
                        <w:rPr>
                          <w:rFonts w:hint="eastAsia" w:ascii="黑体"/>
                          <w:b/>
                        </w:rPr>
                        <w:t>××××-××-××实施</w:t>
                      </w:r>
                    </w:p>
                  </w:txbxContent>
                </v:textbox>
                <w10:anchorlock/>
              </v:shape>
            </w:pict>
          </mc:Fallback>
        </mc:AlternateContent>
      </w:r>
      <w:r>
        <w:rPr>
          <w:highlight w:val="none"/>
        </w:rPr>
        <mc:AlternateContent>
          <mc:Choice Requires="wps">
            <w:drawing>
              <wp:anchor distT="0" distB="0" distL="114300" distR="114300" simplePos="0" relativeHeight="251664384" behindDoc="0" locked="1" layoutInCell="1" allowOverlap="1">
                <wp:simplePos x="0" y="0"/>
                <wp:positionH relativeFrom="margin">
                  <wp:posOffset>0</wp:posOffset>
                </wp:positionH>
                <wp:positionV relativeFrom="margin">
                  <wp:posOffset>8552180</wp:posOffset>
                </wp:positionV>
                <wp:extent cx="2202180" cy="360045"/>
                <wp:effectExtent l="0" t="0" r="7620" b="1905"/>
                <wp:wrapNone/>
                <wp:docPr id="373110328" name="fmFrame5"/>
                <wp:cNvGraphicFramePr/>
                <a:graphic xmlns:a="http://schemas.openxmlformats.org/drawingml/2006/main">
                  <a:graphicData uri="http://schemas.microsoft.com/office/word/2010/wordprocessingShape">
                    <wps:wsp>
                      <wps:cNvSpPr txBox="1">
                        <a:spLocks noChangeArrowheads="1"/>
                      </wps:cNvSpPr>
                      <wps:spPr bwMode="auto">
                        <a:xfrm>
                          <a:off x="0" y="0"/>
                          <a:ext cx="2202180" cy="360045"/>
                        </a:xfrm>
                        <a:prstGeom prst="rect">
                          <a:avLst/>
                        </a:prstGeom>
                        <a:solidFill>
                          <a:srgbClr val="FFFFFF"/>
                        </a:solidFill>
                        <a:ln>
                          <a:noFill/>
                        </a:ln>
                      </wps:spPr>
                      <wps:txbx>
                        <w:txbxContent>
                          <w:p w14:paraId="7DF1797E">
                            <w:pPr>
                              <w:pStyle w:val="99"/>
                              <w:rPr>
                                <w:rFonts w:ascii="黑体" w:hAnsi="黑体" w:cs="黑体"/>
                                <w:b/>
                              </w:rPr>
                            </w:pPr>
                            <w:r>
                              <w:rPr>
                                <w:rFonts w:hint="eastAsia" w:ascii="黑体" w:hAnsi="黑体" w:cs="黑体"/>
                                <w:b/>
                              </w:rPr>
                              <w:t>××××-××-××发布</w:t>
                            </w:r>
                          </w:p>
                        </w:txbxContent>
                      </wps:txbx>
                      <wps:bodyPr rot="0" vert="horz" wrap="square" lIns="0" tIns="0" rIns="0" bIns="0" anchor="t" anchorCtr="0" upright="1">
                        <a:noAutofit/>
                      </wps:bodyPr>
                    </wps:wsp>
                  </a:graphicData>
                </a:graphic>
              </wp:anchor>
            </w:drawing>
          </mc:Choice>
          <mc:Fallback>
            <w:pict>
              <v:shape id="fmFrame5" o:spid="_x0000_s1026" o:spt="202" type="#_x0000_t202" style="position:absolute;left:0pt;margin-left:0pt;margin-top:673.4pt;height:28.35pt;width:173.4pt;mso-position-horizontal-relative:margin;mso-position-vertical-relative:margin;z-index:251664384;mso-width-relative:page;mso-height-relative:page;" fillcolor="#FFFFFF" filled="t" stroked="f" coordsize="21600,21600" o:gfxdata="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zsUBN1wAAAAoBAAAPAAAA&#10;AAAAAAEAIAAAACIAAABkcnMvZG93bnJldi54bWxQSwECFAAUAAAACACHTuJA3M5ZYhYCAAAzBAAA&#10;DgAAAAAAAAABACAAAAAmAQAAZHJzL2Uyb0RvYy54bWxQSwUGAAAAAAYABgBZAQAArgUAAAAA&#10;">
                <v:fill on="t" focussize="0,0"/>
                <v:stroke on="f"/>
                <v:imagedata o:title=""/>
                <o:lock v:ext="edit" aspectratio="f"/>
                <v:textbox inset="0mm,0mm,0mm,0mm">
                  <w:txbxContent>
                    <w:p w14:paraId="7DF1797E">
                      <w:pPr>
                        <w:pStyle w:val="99"/>
                        <w:rPr>
                          <w:rFonts w:ascii="黑体" w:hAnsi="黑体" w:cs="黑体"/>
                          <w:b/>
                        </w:rPr>
                      </w:pPr>
                      <w:r>
                        <w:rPr>
                          <w:rFonts w:hint="eastAsia" w:ascii="黑体" w:hAnsi="黑体" w:cs="黑体"/>
                          <w:b/>
                        </w:rPr>
                        <w:t>××××-××-××发布</w:t>
                      </w:r>
                    </w:p>
                  </w:txbxContent>
                </v:textbox>
                <w10:anchorlock/>
              </v:shape>
            </w:pict>
          </mc:Fallback>
        </mc:AlternateContent>
      </w:r>
      <w:r>
        <w:rPr>
          <w:highlight w:val="none"/>
        </w:rPr>
        <mc:AlternateContent>
          <mc:Choice Requires="wps">
            <w:drawing>
              <wp:anchor distT="0" distB="0" distL="114300" distR="114300" simplePos="0" relativeHeight="251663360" behindDoc="0" locked="1" layoutInCell="1" allowOverlap="1">
                <wp:simplePos x="0" y="0"/>
                <wp:positionH relativeFrom="margin">
                  <wp:posOffset>-349250</wp:posOffset>
                </wp:positionH>
                <wp:positionV relativeFrom="margin">
                  <wp:posOffset>3721735</wp:posOffset>
                </wp:positionV>
                <wp:extent cx="6675120" cy="4681220"/>
                <wp:effectExtent l="0" t="0" r="5080" b="5080"/>
                <wp:wrapNone/>
                <wp:docPr id="1217976771" name="fmFrame4"/>
                <wp:cNvGraphicFramePr/>
                <a:graphic xmlns:a="http://schemas.openxmlformats.org/drawingml/2006/main">
                  <a:graphicData uri="http://schemas.microsoft.com/office/word/2010/wordprocessingShape">
                    <wps:wsp>
                      <wps:cNvSpPr txBox="1">
                        <a:spLocks noChangeArrowheads="1"/>
                      </wps:cNvSpPr>
                      <wps:spPr bwMode="auto">
                        <a:xfrm>
                          <a:off x="0" y="0"/>
                          <a:ext cx="6675120" cy="4681220"/>
                        </a:xfrm>
                        <a:prstGeom prst="rect">
                          <a:avLst/>
                        </a:prstGeom>
                        <a:solidFill>
                          <a:srgbClr val="FFFFFF"/>
                        </a:solidFill>
                        <a:ln>
                          <a:noFill/>
                        </a:ln>
                      </wps:spPr>
                      <wps:txbx>
                        <w:txbxContent>
                          <w:p w14:paraId="302641D7">
                            <w:pPr>
                              <w:pStyle w:val="55"/>
                              <w:spacing w:line="240" w:lineRule="auto"/>
                              <w:rPr>
                                <w:rFonts w:hAnsi="黑体" w:cs="黑体"/>
                              </w:rPr>
                            </w:pPr>
                            <w:r>
                              <w:rPr>
                                <w:rFonts w:hint="eastAsia" w:hAnsi="黑体" w:cs="黑体"/>
                              </w:rPr>
                              <w:t>海洋石油天然气</w:t>
                            </w:r>
                            <w:r>
                              <w:rPr>
                                <w:rFonts w:hint="eastAsia" w:hAnsi="黑体" w:cs="黑体"/>
                                <w:lang w:val="en-US" w:eastAsia="zh-CN"/>
                              </w:rPr>
                              <w:t>企业</w:t>
                            </w:r>
                            <w:r>
                              <w:rPr>
                                <w:rFonts w:hint="eastAsia" w:hAnsi="黑体" w:cs="黑体"/>
                              </w:rPr>
                              <w:t>安全</w:t>
                            </w:r>
                            <w:r>
                              <w:rPr>
                                <w:rFonts w:hint="eastAsia" w:hAnsi="黑体" w:cs="黑体"/>
                                <w:lang w:val="en-US" w:eastAsia="zh-CN"/>
                              </w:rPr>
                              <w:t>现状</w:t>
                            </w:r>
                            <w:r>
                              <w:rPr>
                                <w:rFonts w:hint="eastAsia" w:hAnsi="黑体" w:cs="黑体"/>
                              </w:rPr>
                              <w:t>评价导则</w:t>
                            </w:r>
                          </w:p>
                          <w:p w14:paraId="25FC2834">
                            <w:pPr>
                              <w:pStyle w:val="120"/>
                              <w:pBdr>
                                <w:top w:val="none" w:color="auto" w:sz="0" w:space="0"/>
                                <w:left w:val="none" w:color="auto" w:sz="0" w:space="0"/>
                                <w:bottom w:val="none" w:color="auto" w:sz="0" w:space="0"/>
                                <w:right w:val="none" w:color="auto" w:sz="0" w:space="0"/>
                              </w:pBdr>
                              <w:spacing w:before="124" w:beforeLines="40" w:after="0" w:line="240" w:lineRule="auto"/>
                              <w:rPr>
                                <w:rFonts w:hint="eastAsia" w:ascii="宋体" w:hAnsi="宋体" w:eastAsia="宋体" w:cs="宋体"/>
                                <w:b/>
                                <w:bCs/>
                                <w:sz w:val="28"/>
                                <w:highlight w:val="none"/>
                                <w:lang w:val="en-US" w:eastAsia="en-US"/>
                              </w:rPr>
                            </w:pPr>
                            <w:r>
                              <w:rPr>
                                <w:rFonts w:hint="eastAsia" w:ascii="宋体" w:hAnsi="宋体" w:eastAsia="宋体" w:cs="宋体"/>
                                <w:b/>
                                <w:bCs/>
                                <w:sz w:val="28"/>
                                <w:highlight w:val="none"/>
                                <w:lang w:eastAsia="en-US"/>
                              </w:rPr>
                              <w:t xml:space="preserve">Guidelines </w:t>
                            </w:r>
                            <w:r>
                              <w:rPr>
                                <w:rFonts w:hint="eastAsia" w:hAnsi="宋体" w:cs="宋体"/>
                                <w:b/>
                                <w:bCs/>
                                <w:sz w:val="28"/>
                                <w:highlight w:val="none"/>
                                <w:lang w:val="en-US" w:eastAsia="zh-CN"/>
                              </w:rPr>
                              <w:t>for</w:t>
                            </w:r>
                            <w:r>
                              <w:rPr>
                                <w:rFonts w:hint="eastAsia" w:ascii="宋体" w:hAnsi="宋体" w:eastAsia="宋体" w:cs="宋体"/>
                                <w:b/>
                                <w:bCs/>
                                <w:sz w:val="28"/>
                                <w:highlight w:val="none"/>
                                <w:lang w:eastAsia="en-US"/>
                              </w:rPr>
                              <w:t xml:space="preserve"> </w:t>
                            </w:r>
                            <w:r>
                              <w:rPr>
                                <w:rFonts w:hint="eastAsia" w:ascii="宋体" w:hAnsi="宋体" w:eastAsia="宋体" w:cs="宋体"/>
                                <w:b/>
                                <w:bCs/>
                                <w:sz w:val="28"/>
                                <w:highlight w:val="none"/>
                                <w:lang w:val="en-US" w:eastAsia="zh-CN"/>
                              </w:rPr>
                              <w:t>s</w:t>
                            </w:r>
                            <w:r>
                              <w:rPr>
                                <w:rFonts w:hint="eastAsia" w:ascii="宋体" w:hAnsi="宋体" w:eastAsia="宋体" w:cs="宋体"/>
                                <w:b/>
                                <w:bCs/>
                                <w:sz w:val="28"/>
                                <w:highlight w:val="none"/>
                                <w:lang w:eastAsia="en-US"/>
                              </w:rPr>
                              <w:t xml:space="preserve">afety </w:t>
                            </w:r>
                            <w:r>
                              <w:rPr>
                                <w:rFonts w:hint="eastAsia" w:ascii="宋体" w:hAnsi="宋体" w:eastAsia="宋体" w:cs="宋体"/>
                                <w:b/>
                                <w:bCs/>
                                <w:sz w:val="28"/>
                                <w:highlight w:val="none"/>
                                <w:lang w:val="en-US" w:eastAsia="zh-CN"/>
                              </w:rPr>
                              <w:t>s</w:t>
                            </w:r>
                            <w:r>
                              <w:rPr>
                                <w:rFonts w:hint="eastAsia" w:ascii="宋体" w:hAnsi="宋体" w:eastAsia="宋体" w:cs="宋体"/>
                                <w:b/>
                                <w:bCs/>
                                <w:sz w:val="28"/>
                                <w:highlight w:val="none"/>
                                <w:lang w:eastAsia="en-US"/>
                              </w:rPr>
                              <w:t xml:space="preserve">tatus </w:t>
                            </w:r>
                            <w:r>
                              <w:rPr>
                                <w:rFonts w:hint="eastAsia" w:ascii="宋体" w:hAnsi="宋体" w:eastAsia="宋体" w:cs="宋体"/>
                                <w:b/>
                                <w:bCs/>
                                <w:sz w:val="28"/>
                                <w:highlight w:val="none"/>
                                <w:lang w:val="en-US" w:eastAsia="zh-CN"/>
                              </w:rPr>
                              <w:t>a</w:t>
                            </w:r>
                            <w:r>
                              <w:rPr>
                                <w:rFonts w:hint="eastAsia" w:ascii="宋体" w:hAnsi="宋体" w:eastAsia="宋体" w:cs="宋体"/>
                                <w:b/>
                                <w:bCs/>
                                <w:sz w:val="28"/>
                                <w:highlight w:val="none"/>
                                <w:lang w:eastAsia="en-US"/>
                              </w:rPr>
                              <w:t xml:space="preserve">ssessment </w:t>
                            </w:r>
                            <w:r>
                              <w:rPr>
                                <w:rFonts w:hint="eastAsia" w:hAnsi="宋体" w:cs="宋体"/>
                                <w:b/>
                                <w:bCs/>
                                <w:sz w:val="28"/>
                                <w:highlight w:val="none"/>
                                <w:lang w:val="en-US" w:eastAsia="zh-CN"/>
                              </w:rPr>
                              <w:t>of</w:t>
                            </w:r>
                            <w:r>
                              <w:rPr>
                                <w:rFonts w:hint="eastAsia" w:ascii="宋体" w:hAnsi="宋体" w:eastAsia="宋体" w:cs="宋体"/>
                                <w:b/>
                                <w:bCs/>
                                <w:sz w:val="28"/>
                                <w:highlight w:val="none"/>
                                <w:lang w:eastAsia="en-US"/>
                              </w:rPr>
                              <w:t xml:space="preserve"> </w:t>
                            </w:r>
                            <w:r>
                              <w:rPr>
                                <w:rFonts w:hint="eastAsia" w:ascii="宋体" w:hAnsi="宋体" w:eastAsia="宋体" w:cs="宋体"/>
                                <w:b/>
                                <w:bCs/>
                                <w:sz w:val="28"/>
                                <w:highlight w:val="none"/>
                                <w:lang w:val="en-US" w:eastAsia="zh-CN"/>
                              </w:rPr>
                              <w:t>o</w:t>
                            </w:r>
                            <w:r>
                              <w:rPr>
                                <w:rFonts w:hint="eastAsia" w:ascii="宋体" w:hAnsi="宋体" w:eastAsia="宋体" w:cs="宋体"/>
                                <w:b/>
                                <w:bCs/>
                                <w:sz w:val="28"/>
                                <w:highlight w:val="none"/>
                                <w:lang w:eastAsia="en-US"/>
                              </w:rPr>
                              <w:t xml:space="preserve">ffshore </w:t>
                            </w:r>
                            <w:r>
                              <w:rPr>
                                <w:rFonts w:hint="eastAsia" w:ascii="宋体" w:hAnsi="宋体" w:eastAsia="宋体" w:cs="宋体"/>
                                <w:b/>
                                <w:bCs/>
                                <w:sz w:val="28"/>
                                <w:highlight w:val="none"/>
                                <w:lang w:val="en-US" w:eastAsia="zh-CN"/>
                              </w:rPr>
                              <w:t xml:space="preserve">oil </w:t>
                            </w:r>
                            <w:r>
                              <w:rPr>
                                <w:rFonts w:hint="eastAsia" w:hAnsi="宋体" w:cs="宋体"/>
                                <w:b/>
                                <w:bCs/>
                                <w:sz w:val="28"/>
                                <w:highlight w:val="none"/>
                                <w:lang w:val="en-US" w:eastAsia="zh-CN"/>
                              </w:rPr>
                              <w:t>and</w:t>
                            </w:r>
                            <w:r>
                              <w:rPr>
                                <w:rFonts w:hint="eastAsia" w:ascii="宋体" w:hAnsi="宋体" w:eastAsia="宋体" w:cs="宋体"/>
                                <w:b/>
                                <w:bCs/>
                                <w:sz w:val="28"/>
                                <w:highlight w:val="none"/>
                                <w:lang w:eastAsia="en-US"/>
                              </w:rPr>
                              <w:t xml:space="preserve"> </w:t>
                            </w:r>
                            <w:r>
                              <w:rPr>
                                <w:rFonts w:hint="eastAsia" w:ascii="宋体" w:hAnsi="宋体" w:eastAsia="宋体" w:cs="宋体"/>
                                <w:b/>
                                <w:bCs/>
                                <w:sz w:val="28"/>
                                <w:highlight w:val="none"/>
                                <w:lang w:val="en-US" w:eastAsia="zh-CN"/>
                              </w:rPr>
                              <w:t>g</w:t>
                            </w:r>
                            <w:r>
                              <w:rPr>
                                <w:rFonts w:hint="eastAsia" w:ascii="宋体" w:hAnsi="宋体" w:eastAsia="宋体" w:cs="宋体"/>
                                <w:b/>
                                <w:bCs/>
                                <w:sz w:val="28"/>
                                <w:highlight w:val="none"/>
                                <w:lang w:eastAsia="en-US"/>
                              </w:rPr>
                              <w:t xml:space="preserve">as </w:t>
                            </w:r>
                            <w:r>
                              <w:rPr>
                                <w:rFonts w:hint="eastAsia" w:ascii="宋体" w:hAnsi="宋体" w:eastAsia="宋体" w:cs="宋体"/>
                                <w:b/>
                                <w:bCs/>
                                <w:sz w:val="28"/>
                                <w:highlight w:val="none"/>
                                <w:lang w:val="en-US" w:eastAsia="zh-CN"/>
                              </w:rPr>
                              <w:t>enterprises</w:t>
                            </w:r>
                          </w:p>
                          <w:p w14:paraId="618F614E">
                            <w:pPr>
                              <w:pStyle w:val="120"/>
                              <w:spacing w:before="124" w:beforeLines="40" w:after="0" w:line="240" w:lineRule="auto"/>
                              <w:rPr>
                                <w:rFonts w:hint="eastAsia" w:ascii="黑体" w:hAnsi="黑体" w:eastAsia="黑体" w:cs="黑体"/>
                                <w:sz w:val="28"/>
                                <w:lang w:eastAsia="zh-CN"/>
                              </w:rPr>
                            </w:pPr>
                            <w:r>
                              <w:rPr>
                                <w:rFonts w:hint="eastAsia" w:ascii="黑体" w:hAnsi="黑体" w:eastAsia="黑体" w:cs="黑体"/>
                                <w:sz w:val="28"/>
                                <w:lang w:eastAsia="zh-CN"/>
                              </w:rPr>
                              <w:t>（</w:t>
                            </w:r>
                            <w:r>
                              <w:rPr>
                                <w:rFonts w:hint="eastAsia" w:ascii="黑体" w:hAnsi="黑体" w:eastAsia="黑体" w:cs="黑体"/>
                                <w:sz w:val="28"/>
                                <w:lang w:val="en-US" w:eastAsia="zh-CN"/>
                              </w:rPr>
                              <w:t>征求意见稿</w:t>
                            </w:r>
                            <w:r>
                              <w:rPr>
                                <w:rFonts w:hint="eastAsia" w:ascii="黑体" w:hAnsi="黑体" w:eastAsia="黑体" w:cs="黑体"/>
                                <w:sz w:val="28"/>
                                <w:lang w:eastAsia="zh-CN"/>
                              </w:rPr>
                              <w:t>）</w:t>
                            </w:r>
                          </w:p>
                        </w:txbxContent>
                      </wps:txbx>
                      <wps:bodyPr rot="0" vert="horz" wrap="square" lIns="0" tIns="0" rIns="0" bIns="0" anchor="t" anchorCtr="0" upright="1">
                        <a:spAutoFit/>
                      </wps:bodyPr>
                    </wps:wsp>
                  </a:graphicData>
                </a:graphic>
              </wp:anchor>
            </w:drawing>
          </mc:Choice>
          <mc:Fallback>
            <w:pict>
              <v:shape id="fmFrame4" o:spid="_x0000_s1026" o:spt="202" type="#_x0000_t202" style="position:absolute;left:0pt;margin-left:-27.5pt;margin-top:293.05pt;height:368.6pt;width:525.6pt;mso-position-horizontal-relative:margin;mso-position-vertical-relative:margin;z-index:251663360;mso-width-relative:page;mso-height-relative:page;" fillcolor="#FFFFFF" filled="t" stroked="f" coordsize="21600,21600" o:gfxdata="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L9NyH3gAAAAwB&#10;AAAPAAAAAAAAAAEAIAAAACIAAABkcnMvZG93bnJldi54bWxQSwECFAAUAAAACACHTuJA+GwsCxUC&#10;AAA1BAAADgAAAAAAAAABACAAAAAtAQAAZHJzL2Uyb0RvYy54bWxQSwUGAAAAAAYABgBZAQAAtAUA&#10;AAAA&#10;">
                <v:fill on="t" focussize="0,0"/>
                <v:stroke on="f"/>
                <v:imagedata o:title=""/>
                <o:lock v:ext="edit" aspectratio="f"/>
                <v:textbox inset="0mm,0mm,0mm,0mm" style="mso-fit-shape-to-text:t;">
                  <w:txbxContent>
                    <w:p w14:paraId="302641D7">
                      <w:pPr>
                        <w:pStyle w:val="55"/>
                        <w:spacing w:line="240" w:lineRule="auto"/>
                        <w:rPr>
                          <w:rFonts w:hAnsi="黑体" w:cs="黑体"/>
                        </w:rPr>
                      </w:pPr>
                      <w:r>
                        <w:rPr>
                          <w:rFonts w:hint="eastAsia" w:hAnsi="黑体" w:cs="黑体"/>
                        </w:rPr>
                        <w:t>海洋石油天然气</w:t>
                      </w:r>
                      <w:r>
                        <w:rPr>
                          <w:rFonts w:hint="eastAsia" w:hAnsi="黑体" w:cs="黑体"/>
                          <w:lang w:val="en-US" w:eastAsia="zh-CN"/>
                        </w:rPr>
                        <w:t>企业</w:t>
                      </w:r>
                      <w:r>
                        <w:rPr>
                          <w:rFonts w:hint="eastAsia" w:hAnsi="黑体" w:cs="黑体"/>
                        </w:rPr>
                        <w:t>安全</w:t>
                      </w:r>
                      <w:r>
                        <w:rPr>
                          <w:rFonts w:hint="eastAsia" w:hAnsi="黑体" w:cs="黑体"/>
                          <w:lang w:val="en-US" w:eastAsia="zh-CN"/>
                        </w:rPr>
                        <w:t>现状</w:t>
                      </w:r>
                      <w:r>
                        <w:rPr>
                          <w:rFonts w:hint="eastAsia" w:hAnsi="黑体" w:cs="黑体"/>
                        </w:rPr>
                        <w:t>评价导则</w:t>
                      </w:r>
                    </w:p>
                    <w:p w14:paraId="25FC2834">
                      <w:pPr>
                        <w:pStyle w:val="120"/>
                        <w:pBdr>
                          <w:top w:val="none" w:color="auto" w:sz="0" w:space="0"/>
                          <w:left w:val="none" w:color="auto" w:sz="0" w:space="0"/>
                          <w:bottom w:val="none" w:color="auto" w:sz="0" w:space="0"/>
                          <w:right w:val="none" w:color="auto" w:sz="0" w:space="0"/>
                        </w:pBdr>
                        <w:spacing w:before="124" w:beforeLines="40" w:after="0" w:line="240" w:lineRule="auto"/>
                        <w:rPr>
                          <w:rFonts w:hint="eastAsia" w:ascii="宋体" w:hAnsi="宋体" w:eastAsia="宋体" w:cs="宋体"/>
                          <w:b/>
                          <w:bCs/>
                          <w:sz w:val="28"/>
                          <w:highlight w:val="none"/>
                          <w:lang w:val="en-US" w:eastAsia="en-US"/>
                        </w:rPr>
                      </w:pPr>
                      <w:r>
                        <w:rPr>
                          <w:rFonts w:hint="eastAsia" w:ascii="宋体" w:hAnsi="宋体" w:eastAsia="宋体" w:cs="宋体"/>
                          <w:b/>
                          <w:bCs/>
                          <w:sz w:val="28"/>
                          <w:highlight w:val="none"/>
                          <w:lang w:eastAsia="en-US"/>
                        </w:rPr>
                        <w:t xml:space="preserve">Guidelines </w:t>
                      </w:r>
                      <w:r>
                        <w:rPr>
                          <w:rFonts w:hint="eastAsia" w:hAnsi="宋体" w:cs="宋体"/>
                          <w:b/>
                          <w:bCs/>
                          <w:sz w:val="28"/>
                          <w:highlight w:val="none"/>
                          <w:lang w:val="en-US" w:eastAsia="zh-CN"/>
                        </w:rPr>
                        <w:t>for</w:t>
                      </w:r>
                      <w:r>
                        <w:rPr>
                          <w:rFonts w:hint="eastAsia" w:ascii="宋体" w:hAnsi="宋体" w:eastAsia="宋体" w:cs="宋体"/>
                          <w:b/>
                          <w:bCs/>
                          <w:sz w:val="28"/>
                          <w:highlight w:val="none"/>
                          <w:lang w:eastAsia="en-US"/>
                        </w:rPr>
                        <w:t xml:space="preserve"> </w:t>
                      </w:r>
                      <w:r>
                        <w:rPr>
                          <w:rFonts w:hint="eastAsia" w:ascii="宋体" w:hAnsi="宋体" w:eastAsia="宋体" w:cs="宋体"/>
                          <w:b/>
                          <w:bCs/>
                          <w:sz w:val="28"/>
                          <w:highlight w:val="none"/>
                          <w:lang w:val="en-US" w:eastAsia="zh-CN"/>
                        </w:rPr>
                        <w:t>s</w:t>
                      </w:r>
                      <w:r>
                        <w:rPr>
                          <w:rFonts w:hint="eastAsia" w:ascii="宋体" w:hAnsi="宋体" w:eastAsia="宋体" w:cs="宋体"/>
                          <w:b/>
                          <w:bCs/>
                          <w:sz w:val="28"/>
                          <w:highlight w:val="none"/>
                          <w:lang w:eastAsia="en-US"/>
                        </w:rPr>
                        <w:t xml:space="preserve">afety </w:t>
                      </w:r>
                      <w:r>
                        <w:rPr>
                          <w:rFonts w:hint="eastAsia" w:ascii="宋体" w:hAnsi="宋体" w:eastAsia="宋体" w:cs="宋体"/>
                          <w:b/>
                          <w:bCs/>
                          <w:sz w:val="28"/>
                          <w:highlight w:val="none"/>
                          <w:lang w:val="en-US" w:eastAsia="zh-CN"/>
                        </w:rPr>
                        <w:t>s</w:t>
                      </w:r>
                      <w:r>
                        <w:rPr>
                          <w:rFonts w:hint="eastAsia" w:ascii="宋体" w:hAnsi="宋体" w:eastAsia="宋体" w:cs="宋体"/>
                          <w:b/>
                          <w:bCs/>
                          <w:sz w:val="28"/>
                          <w:highlight w:val="none"/>
                          <w:lang w:eastAsia="en-US"/>
                        </w:rPr>
                        <w:t xml:space="preserve">tatus </w:t>
                      </w:r>
                      <w:r>
                        <w:rPr>
                          <w:rFonts w:hint="eastAsia" w:ascii="宋体" w:hAnsi="宋体" w:eastAsia="宋体" w:cs="宋体"/>
                          <w:b/>
                          <w:bCs/>
                          <w:sz w:val="28"/>
                          <w:highlight w:val="none"/>
                          <w:lang w:val="en-US" w:eastAsia="zh-CN"/>
                        </w:rPr>
                        <w:t>a</w:t>
                      </w:r>
                      <w:r>
                        <w:rPr>
                          <w:rFonts w:hint="eastAsia" w:ascii="宋体" w:hAnsi="宋体" w:eastAsia="宋体" w:cs="宋体"/>
                          <w:b/>
                          <w:bCs/>
                          <w:sz w:val="28"/>
                          <w:highlight w:val="none"/>
                          <w:lang w:eastAsia="en-US"/>
                        </w:rPr>
                        <w:t xml:space="preserve">ssessment </w:t>
                      </w:r>
                      <w:r>
                        <w:rPr>
                          <w:rFonts w:hint="eastAsia" w:hAnsi="宋体" w:cs="宋体"/>
                          <w:b/>
                          <w:bCs/>
                          <w:sz w:val="28"/>
                          <w:highlight w:val="none"/>
                          <w:lang w:val="en-US" w:eastAsia="zh-CN"/>
                        </w:rPr>
                        <w:t>of</w:t>
                      </w:r>
                      <w:r>
                        <w:rPr>
                          <w:rFonts w:hint="eastAsia" w:ascii="宋体" w:hAnsi="宋体" w:eastAsia="宋体" w:cs="宋体"/>
                          <w:b/>
                          <w:bCs/>
                          <w:sz w:val="28"/>
                          <w:highlight w:val="none"/>
                          <w:lang w:eastAsia="en-US"/>
                        </w:rPr>
                        <w:t xml:space="preserve"> </w:t>
                      </w:r>
                      <w:r>
                        <w:rPr>
                          <w:rFonts w:hint="eastAsia" w:ascii="宋体" w:hAnsi="宋体" w:eastAsia="宋体" w:cs="宋体"/>
                          <w:b/>
                          <w:bCs/>
                          <w:sz w:val="28"/>
                          <w:highlight w:val="none"/>
                          <w:lang w:val="en-US" w:eastAsia="zh-CN"/>
                        </w:rPr>
                        <w:t>o</w:t>
                      </w:r>
                      <w:r>
                        <w:rPr>
                          <w:rFonts w:hint="eastAsia" w:ascii="宋体" w:hAnsi="宋体" w:eastAsia="宋体" w:cs="宋体"/>
                          <w:b/>
                          <w:bCs/>
                          <w:sz w:val="28"/>
                          <w:highlight w:val="none"/>
                          <w:lang w:eastAsia="en-US"/>
                        </w:rPr>
                        <w:t xml:space="preserve">ffshore </w:t>
                      </w:r>
                      <w:r>
                        <w:rPr>
                          <w:rFonts w:hint="eastAsia" w:ascii="宋体" w:hAnsi="宋体" w:eastAsia="宋体" w:cs="宋体"/>
                          <w:b/>
                          <w:bCs/>
                          <w:sz w:val="28"/>
                          <w:highlight w:val="none"/>
                          <w:lang w:val="en-US" w:eastAsia="zh-CN"/>
                        </w:rPr>
                        <w:t xml:space="preserve">oil </w:t>
                      </w:r>
                      <w:r>
                        <w:rPr>
                          <w:rFonts w:hint="eastAsia" w:hAnsi="宋体" w:cs="宋体"/>
                          <w:b/>
                          <w:bCs/>
                          <w:sz w:val="28"/>
                          <w:highlight w:val="none"/>
                          <w:lang w:val="en-US" w:eastAsia="zh-CN"/>
                        </w:rPr>
                        <w:t>and</w:t>
                      </w:r>
                      <w:r>
                        <w:rPr>
                          <w:rFonts w:hint="eastAsia" w:ascii="宋体" w:hAnsi="宋体" w:eastAsia="宋体" w:cs="宋体"/>
                          <w:b/>
                          <w:bCs/>
                          <w:sz w:val="28"/>
                          <w:highlight w:val="none"/>
                          <w:lang w:eastAsia="en-US"/>
                        </w:rPr>
                        <w:t xml:space="preserve"> </w:t>
                      </w:r>
                      <w:r>
                        <w:rPr>
                          <w:rFonts w:hint="eastAsia" w:ascii="宋体" w:hAnsi="宋体" w:eastAsia="宋体" w:cs="宋体"/>
                          <w:b/>
                          <w:bCs/>
                          <w:sz w:val="28"/>
                          <w:highlight w:val="none"/>
                          <w:lang w:val="en-US" w:eastAsia="zh-CN"/>
                        </w:rPr>
                        <w:t>g</w:t>
                      </w:r>
                      <w:r>
                        <w:rPr>
                          <w:rFonts w:hint="eastAsia" w:ascii="宋体" w:hAnsi="宋体" w:eastAsia="宋体" w:cs="宋体"/>
                          <w:b/>
                          <w:bCs/>
                          <w:sz w:val="28"/>
                          <w:highlight w:val="none"/>
                          <w:lang w:eastAsia="en-US"/>
                        </w:rPr>
                        <w:t xml:space="preserve">as </w:t>
                      </w:r>
                      <w:r>
                        <w:rPr>
                          <w:rFonts w:hint="eastAsia" w:ascii="宋体" w:hAnsi="宋体" w:eastAsia="宋体" w:cs="宋体"/>
                          <w:b/>
                          <w:bCs/>
                          <w:sz w:val="28"/>
                          <w:highlight w:val="none"/>
                          <w:lang w:val="en-US" w:eastAsia="zh-CN"/>
                        </w:rPr>
                        <w:t>enterprises</w:t>
                      </w:r>
                    </w:p>
                    <w:p w14:paraId="618F614E">
                      <w:pPr>
                        <w:pStyle w:val="120"/>
                        <w:spacing w:before="124" w:beforeLines="40" w:after="0" w:line="240" w:lineRule="auto"/>
                        <w:rPr>
                          <w:rFonts w:hint="eastAsia" w:ascii="黑体" w:hAnsi="黑体" w:eastAsia="黑体" w:cs="黑体"/>
                          <w:sz w:val="28"/>
                          <w:lang w:eastAsia="zh-CN"/>
                        </w:rPr>
                      </w:pPr>
                      <w:r>
                        <w:rPr>
                          <w:rFonts w:hint="eastAsia" w:ascii="黑体" w:hAnsi="黑体" w:eastAsia="黑体" w:cs="黑体"/>
                          <w:sz w:val="28"/>
                          <w:lang w:eastAsia="zh-CN"/>
                        </w:rPr>
                        <w:t>（</w:t>
                      </w:r>
                      <w:r>
                        <w:rPr>
                          <w:rFonts w:hint="eastAsia" w:ascii="黑体" w:hAnsi="黑体" w:eastAsia="黑体" w:cs="黑体"/>
                          <w:sz w:val="28"/>
                          <w:lang w:val="en-US" w:eastAsia="zh-CN"/>
                        </w:rPr>
                        <w:t>征求意见稿</w:t>
                      </w:r>
                      <w:r>
                        <w:rPr>
                          <w:rFonts w:hint="eastAsia" w:ascii="黑体" w:hAnsi="黑体" w:eastAsia="黑体" w:cs="黑体"/>
                          <w:sz w:val="28"/>
                          <w:lang w:eastAsia="zh-CN"/>
                        </w:rPr>
                        <w:t>）</w:t>
                      </w:r>
                    </w:p>
                  </w:txbxContent>
                </v:textbox>
                <w10:anchorlock/>
              </v:shape>
            </w:pict>
          </mc:Fallback>
        </mc:AlternateContent>
      </w:r>
      <w:r>
        <w:rPr>
          <w:highlight w:val="none"/>
        </w:rPr>
        <mc:AlternateContent>
          <mc:Choice Requires="wps">
            <w:drawing>
              <wp:anchor distT="0" distB="0" distL="114300" distR="114300" simplePos="0" relativeHeight="251662336" behindDoc="0" locked="1" layoutInCell="1" allowOverlap="1">
                <wp:simplePos x="0" y="0"/>
                <wp:positionH relativeFrom="margin">
                  <wp:posOffset>105410</wp:posOffset>
                </wp:positionH>
                <wp:positionV relativeFrom="margin">
                  <wp:posOffset>1534795</wp:posOffset>
                </wp:positionV>
                <wp:extent cx="5915025" cy="860425"/>
                <wp:effectExtent l="3810" t="3175" r="0" b="3175"/>
                <wp:wrapNone/>
                <wp:docPr id="69117131" name="fmFrame3"/>
                <wp:cNvGraphicFramePr/>
                <a:graphic xmlns:a="http://schemas.openxmlformats.org/drawingml/2006/main">
                  <a:graphicData uri="http://schemas.microsoft.com/office/word/2010/wordprocessingShape">
                    <wps:wsp>
                      <wps:cNvSpPr txBox="1">
                        <a:spLocks noChangeArrowheads="1"/>
                      </wps:cNvSpPr>
                      <wps:spPr bwMode="auto">
                        <a:xfrm>
                          <a:off x="0" y="0"/>
                          <a:ext cx="5915025" cy="860425"/>
                        </a:xfrm>
                        <a:prstGeom prst="rect">
                          <a:avLst/>
                        </a:prstGeom>
                        <a:solidFill>
                          <a:srgbClr val="FFFFFF"/>
                        </a:solidFill>
                        <a:ln>
                          <a:noFill/>
                        </a:ln>
                      </wps:spPr>
                      <wps:txbx>
                        <w:txbxContent>
                          <w:p w14:paraId="4E259FB6">
                            <w:pPr>
                              <w:pStyle w:val="112"/>
                              <w:ind w:right="140"/>
                              <w:rPr>
                                <w:b/>
                              </w:rPr>
                            </w:pPr>
                            <w:r>
                              <w:rPr>
                                <w:rFonts w:hint="eastAsia" w:ascii="宋体" w:hAnsi="宋体" w:eastAsia="宋体" w:cs="宋体"/>
                                <w:b/>
                              </w:rPr>
                              <w:t>AQ</w:t>
                            </w:r>
                            <w:r>
                              <w:rPr>
                                <w:rFonts w:hint="eastAsia"/>
                                <w:b/>
                              </w:rPr>
                              <w:t xml:space="preserve"> </w:t>
                            </w:r>
                            <w:r>
                              <w:rPr>
                                <w:rFonts w:hint="eastAsia" w:ascii="宋体" w:hAnsi="宋体" w:eastAsia="宋体" w:cs="宋体"/>
                                <w:b/>
                              </w:rPr>
                              <w:t>XXXX—XXXX</w:t>
                            </w:r>
                          </w:p>
                          <w:p w14:paraId="0996D111"/>
                        </w:txbxContent>
                      </wps:txbx>
                      <wps:bodyPr rot="0" vert="horz" wrap="square" lIns="0" tIns="0" rIns="0" bIns="0" anchor="t" anchorCtr="0" upright="1">
                        <a:spAutoFit/>
                      </wps:bodyPr>
                    </wps:wsp>
                  </a:graphicData>
                </a:graphic>
              </wp:anchor>
            </w:drawing>
          </mc:Choice>
          <mc:Fallback>
            <w:pict>
              <v:shape id="fmFrame3" o:spid="_x0000_s1026" o:spt="202" type="#_x0000_t202" style="position:absolute;left:0pt;margin-left:8.3pt;margin-top:120.85pt;height:67.75pt;width:465.75pt;mso-position-horizontal-relative:margin;mso-position-vertical-relative:margin;z-index:251662336;mso-width-relative:page;mso-height-relative:page;" fillcolor="#FFFFFF" filled="t" stroked="f" coordsize="21600,21600" o:gfxdata="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MDkperbAAAACgEAAA8A&#10;AAAAAAAAAQAgAAAAIgAAAGRycy9kb3ducmV2LnhtbFBLAQIUABQAAAAIAIdO4kCClaMmFAIAADIE&#10;AAAOAAAAAAAAAAEAIAAAACoBAABkcnMvZTJvRG9jLnhtbFBLBQYAAAAABgAGAFkBAACwBQAAAAA=&#10;">
                <v:fill on="t" focussize="0,0"/>
                <v:stroke on="f"/>
                <v:imagedata o:title=""/>
                <o:lock v:ext="edit" aspectratio="f"/>
                <v:textbox inset="0mm,0mm,0mm,0mm" style="mso-fit-shape-to-text:t;">
                  <w:txbxContent>
                    <w:p w14:paraId="4E259FB6">
                      <w:pPr>
                        <w:pStyle w:val="112"/>
                        <w:ind w:right="140"/>
                        <w:rPr>
                          <w:b/>
                        </w:rPr>
                      </w:pPr>
                      <w:r>
                        <w:rPr>
                          <w:rFonts w:hint="eastAsia" w:ascii="宋体" w:hAnsi="宋体" w:eastAsia="宋体" w:cs="宋体"/>
                          <w:b/>
                        </w:rPr>
                        <w:t>AQ</w:t>
                      </w:r>
                      <w:r>
                        <w:rPr>
                          <w:rFonts w:hint="eastAsia"/>
                          <w:b/>
                        </w:rPr>
                        <w:t xml:space="preserve"> </w:t>
                      </w:r>
                      <w:r>
                        <w:rPr>
                          <w:rFonts w:hint="eastAsia" w:ascii="宋体" w:hAnsi="宋体" w:eastAsia="宋体" w:cs="宋体"/>
                          <w:b/>
                        </w:rPr>
                        <w:t>XXXX—XXXX</w:t>
                      </w:r>
                    </w:p>
                    <w:p w14:paraId="0996D111"/>
                  </w:txbxContent>
                </v:textbox>
                <w10:anchorlock/>
              </v:shape>
            </w:pict>
          </mc:Fallback>
        </mc:AlternateContent>
      </w:r>
      <w:r>
        <w:rPr>
          <w:highlight w:val="none"/>
        </w:rPr>
        <mc:AlternateContent>
          <mc:Choice Requires="wps">
            <w:drawing>
              <wp:anchor distT="0" distB="0" distL="114300" distR="114300" simplePos="0" relativeHeight="251661312" behindDoc="0" locked="1" layoutInCell="1" allowOverlap="1">
                <wp:simplePos x="0" y="0"/>
                <wp:positionH relativeFrom="margin">
                  <wp:posOffset>4235450</wp:posOffset>
                </wp:positionH>
                <wp:positionV relativeFrom="margin">
                  <wp:posOffset>154305</wp:posOffset>
                </wp:positionV>
                <wp:extent cx="1576070" cy="720090"/>
                <wp:effectExtent l="0" t="0" r="5080" b="3810"/>
                <wp:wrapNone/>
                <wp:docPr id="1190774613" name="fmFrame8"/>
                <wp:cNvGraphicFramePr/>
                <a:graphic xmlns:a="http://schemas.openxmlformats.org/drawingml/2006/main">
                  <a:graphicData uri="http://schemas.microsoft.com/office/word/2010/wordprocessingShape">
                    <wps:wsp>
                      <wps:cNvSpPr txBox="1">
                        <a:spLocks noChangeArrowheads="1"/>
                      </wps:cNvSpPr>
                      <wps:spPr bwMode="auto">
                        <a:xfrm>
                          <a:off x="0" y="0"/>
                          <a:ext cx="1576070" cy="720090"/>
                        </a:xfrm>
                        <a:prstGeom prst="rect">
                          <a:avLst/>
                        </a:prstGeom>
                        <a:solidFill>
                          <a:srgbClr val="FFFFFF"/>
                        </a:solidFill>
                        <a:ln>
                          <a:noFill/>
                        </a:ln>
                      </wps:spPr>
                      <wps:txbx>
                        <w:txbxContent>
                          <w:p w14:paraId="007D4C83">
                            <w:pPr>
                              <w:pStyle w:val="110"/>
                              <w:rPr>
                                <w:color w:val="auto"/>
                              </w:rPr>
                            </w:pPr>
                            <w:r>
                              <w:rPr>
                                <w:color w:val="auto"/>
                              </w:rPr>
                              <w:t>AQ</w:t>
                            </w:r>
                          </w:p>
                        </w:txbxContent>
                      </wps:txbx>
                      <wps:bodyPr rot="0" vert="horz" wrap="square" lIns="0" tIns="0" rIns="0" bIns="0" anchor="t" anchorCtr="0" upright="1">
                        <a:noAutofit/>
                      </wps:bodyPr>
                    </wps:wsp>
                  </a:graphicData>
                </a:graphic>
              </wp:anchor>
            </w:drawing>
          </mc:Choice>
          <mc:Fallback>
            <w:pict>
              <v:shape id="fmFrame8" o:spid="_x0000_s1026" o:spt="202" type="#_x0000_t202" style="position:absolute;left:0pt;margin-left:333.5pt;margin-top:12.15pt;height:56.7pt;width:124.1pt;mso-position-horizontal-relative:margin;mso-position-vertical-relative:margin;z-index:251661312;mso-width-relative:page;mso-height-relative:page;" fillcolor="#FFFFFF" filled="t" stroked="f" coordsize="21600,21600" o:gfxdata="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P7cQQLZAAAACgEAAA8A&#10;AAAAAAAAAQAgAAAAIgAAAGRycy9kb3ducmV2LnhtbFBLAQIUABQAAAAIAIdO4kBg5LA2FgIAADQE&#10;AAAOAAAAAAAAAAEAIAAAACgBAABkcnMvZTJvRG9jLnhtbFBLBQYAAAAABgAGAFkBAACwBQAAAAA=&#10;">
                <v:fill on="t" focussize="0,0"/>
                <v:stroke on="f"/>
                <v:imagedata o:title=""/>
                <o:lock v:ext="edit" aspectratio="f"/>
                <v:textbox inset="0mm,0mm,0mm,0mm">
                  <w:txbxContent>
                    <w:p w14:paraId="007D4C83">
                      <w:pPr>
                        <w:pStyle w:val="110"/>
                        <w:rPr>
                          <w:color w:val="auto"/>
                        </w:rPr>
                      </w:pPr>
                      <w:r>
                        <w:rPr>
                          <w:color w:val="auto"/>
                        </w:rPr>
                        <w:t>AQ</w:t>
                      </w:r>
                    </w:p>
                  </w:txbxContent>
                </v:textbox>
                <w10:anchorlock/>
              </v:shape>
            </w:pict>
          </mc:Fallback>
        </mc:AlternateContent>
      </w:r>
      <w:r>
        <w:rPr>
          <w:highlight w:val="none"/>
        </w:rPr>
        <mc:AlternateContent>
          <mc:Choice Requires="wps">
            <w:drawing>
              <wp:anchor distT="0" distB="0" distL="114300" distR="114300" simplePos="0" relativeHeight="251660288" behindDoc="0" locked="1" layoutInCell="1" allowOverlap="1">
                <wp:simplePos x="0" y="0"/>
                <wp:positionH relativeFrom="margin">
                  <wp:posOffset>-33020</wp:posOffset>
                </wp:positionH>
                <wp:positionV relativeFrom="margin">
                  <wp:posOffset>1134745</wp:posOffset>
                </wp:positionV>
                <wp:extent cx="6169660" cy="391160"/>
                <wp:effectExtent l="0" t="0" r="2540" b="8890"/>
                <wp:wrapNone/>
                <wp:docPr id="1497808431" name="fmFrame2"/>
                <wp:cNvGraphicFramePr/>
                <a:graphic xmlns:a="http://schemas.openxmlformats.org/drawingml/2006/main">
                  <a:graphicData uri="http://schemas.microsoft.com/office/word/2010/wordprocessingShape">
                    <wps:wsp>
                      <wps:cNvSpPr txBox="1">
                        <a:spLocks noChangeArrowheads="1"/>
                      </wps:cNvSpPr>
                      <wps:spPr bwMode="auto">
                        <a:xfrm>
                          <a:off x="0" y="0"/>
                          <a:ext cx="6169660" cy="391160"/>
                        </a:xfrm>
                        <a:prstGeom prst="rect">
                          <a:avLst/>
                        </a:prstGeom>
                        <a:solidFill>
                          <a:srgbClr val="FFFFFF"/>
                        </a:solidFill>
                        <a:ln>
                          <a:noFill/>
                        </a:ln>
                      </wps:spPr>
                      <wps:txbx>
                        <w:txbxContent>
                          <w:p w14:paraId="083CFD80">
                            <w:pPr>
                              <w:pStyle w:val="121"/>
                              <w:rPr>
                                <w:color w:val="auto"/>
                                <w:spacing w:val="0"/>
                              </w:rPr>
                            </w:pPr>
                            <w:r>
                              <w:rPr>
                                <w:rFonts w:hint="eastAsia"/>
                                <w:color w:val="auto"/>
                                <w:spacing w:val="0"/>
                              </w:rPr>
                              <w:t>中华人民共和国安全生产行业标准</w:t>
                            </w:r>
                          </w:p>
                          <w:p w14:paraId="52AD677D">
                            <w:pPr>
                              <w:pStyle w:val="121"/>
                            </w:pPr>
                          </w:p>
                        </w:txbxContent>
                      </wps:txbx>
                      <wps:bodyPr rot="0" vert="horz" wrap="square" lIns="0" tIns="0" rIns="0" bIns="0" anchor="ctr" anchorCtr="0" upright="1">
                        <a:noAutofit/>
                      </wps:bodyPr>
                    </wps:wsp>
                  </a:graphicData>
                </a:graphic>
              </wp:anchor>
            </w:drawing>
          </mc:Choice>
          <mc:Fallback>
            <w:pict>
              <v:shape id="fmFrame2" o:spid="_x0000_s1026" o:spt="202" type="#_x0000_t202" style="position:absolute;left:0pt;margin-left:-2.6pt;margin-top:89.35pt;height:30.8pt;width:485.8pt;mso-position-horizontal-relative:margin;mso-position-vertical-relative:margin;z-index:251660288;v-text-anchor:middle;mso-width-relative:page;mso-height-relative:page;" fillcolor="#FFFFFF" filled="t" stroked="f" coordsize="21600,21600" o:gfxdata="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JNpt92QAAAAoBAAAP&#10;AAAAAAAAAAEAIAAAACIAAABkcnMvZG93bnJldi54bWxQSwECFAAUAAAACACHTuJAwa+BpRcCAAA2&#10;BAAADgAAAAAAAAABACAAAAAoAQAAZHJzL2Uyb0RvYy54bWxQSwUGAAAAAAYABgBZAQAAsQUAAAAA&#10;">
                <v:fill on="t" focussize="0,0"/>
                <v:stroke on="f"/>
                <v:imagedata o:title=""/>
                <o:lock v:ext="edit" aspectratio="f"/>
                <v:textbox inset="0mm,0mm,0mm,0mm">
                  <w:txbxContent>
                    <w:p w14:paraId="083CFD80">
                      <w:pPr>
                        <w:pStyle w:val="121"/>
                        <w:rPr>
                          <w:color w:val="auto"/>
                          <w:spacing w:val="0"/>
                        </w:rPr>
                      </w:pPr>
                      <w:r>
                        <w:rPr>
                          <w:rFonts w:hint="eastAsia"/>
                          <w:color w:val="auto"/>
                          <w:spacing w:val="0"/>
                        </w:rPr>
                        <w:t>中华人民共和国安全生产行业标准</w:t>
                      </w:r>
                    </w:p>
                    <w:p w14:paraId="52AD677D">
                      <w:pPr>
                        <w:pStyle w:val="121"/>
                      </w:pPr>
                    </w:p>
                  </w:txbxContent>
                </v:textbox>
                <w10:anchorlock/>
              </v:shape>
            </w:pict>
          </mc:Fallback>
        </mc:AlternateContent>
      </w:r>
      <w:r>
        <w:rPr>
          <w:highlight w:val="none"/>
        </w:rPr>
        <mc:AlternateContent>
          <mc:Choice Requires="wps">
            <w:drawing>
              <wp:anchor distT="0" distB="0" distL="114300" distR="114300" simplePos="0" relativeHeight="251659264" behindDoc="0" locked="1" layoutInCell="1" allowOverlap="1">
                <wp:simplePos x="0" y="0"/>
                <wp:positionH relativeFrom="margin">
                  <wp:posOffset>0</wp:posOffset>
                </wp:positionH>
                <wp:positionV relativeFrom="margin">
                  <wp:posOffset>0</wp:posOffset>
                </wp:positionV>
                <wp:extent cx="2540000" cy="657860"/>
                <wp:effectExtent l="0" t="2540" r="0" b="0"/>
                <wp:wrapNone/>
                <wp:docPr id="928197214" name="fmFrame1"/>
                <wp:cNvGraphicFramePr/>
                <a:graphic xmlns:a="http://schemas.openxmlformats.org/drawingml/2006/main">
                  <a:graphicData uri="http://schemas.microsoft.com/office/word/2010/wordprocessingShape">
                    <wps:wsp>
                      <wps:cNvSpPr txBox="1">
                        <a:spLocks noChangeArrowheads="1"/>
                      </wps:cNvSpPr>
                      <wps:spPr bwMode="auto">
                        <a:xfrm>
                          <a:off x="0" y="0"/>
                          <a:ext cx="2540000" cy="657860"/>
                        </a:xfrm>
                        <a:prstGeom prst="rect">
                          <a:avLst/>
                        </a:prstGeom>
                        <a:solidFill>
                          <a:srgbClr val="FFFFFF"/>
                        </a:solidFill>
                        <a:ln>
                          <a:noFill/>
                        </a:ln>
                      </wps:spPr>
                      <wps:txbx>
                        <w:txbxContent>
                          <w:p w14:paraId="5CD62BBF">
                            <w:pPr>
                              <w:pStyle w:val="61"/>
                              <w:spacing w:line="0" w:lineRule="atLeast"/>
                              <w:rPr>
                                <w:rFonts w:hint="eastAsia" w:ascii="黑体" w:hAnsi="黑体" w:eastAsia="黑体" w:cs="黑体"/>
                                <w:b w:val="0"/>
                                <w:bCs/>
                              </w:rPr>
                            </w:pPr>
                            <w:r>
                              <w:rPr>
                                <w:rFonts w:hint="eastAsia" w:ascii="黑体" w:hAnsi="黑体" w:eastAsia="黑体" w:cs="黑体"/>
                                <w:b w:val="0"/>
                                <w:bCs/>
                              </w:rPr>
                              <w:t xml:space="preserve">ICS </w:t>
                            </w:r>
                            <w:r>
                              <w:rPr>
                                <w:rFonts w:hint="eastAsia" w:ascii="黑体" w:hAnsi="黑体" w:eastAsia="黑体" w:cs="黑体"/>
                                <w:b w:val="0"/>
                                <w:bCs/>
                                <w:snapToGrid w:val="0"/>
                              </w:rPr>
                              <w:t>13.100</w:t>
                            </w:r>
                          </w:p>
                          <w:p w14:paraId="64CF7F88">
                            <w:pPr>
                              <w:spacing w:line="240" w:lineRule="atLeast"/>
                              <w:rPr>
                                <w:rFonts w:hint="eastAsia" w:ascii="黑体" w:hAnsi="黑体" w:eastAsia="黑体" w:cs="黑体"/>
                                <w:b w:val="0"/>
                                <w:bCs/>
                              </w:rPr>
                            </w:pPr>
                            <w:r>
                              <w:rPr>
                                <w:rFonts w:hint="eastAsia" w:ascii="黑体" w:hAnsi="黑体" w:eastAsia="黑体" w:cs="黑体"/>
                                <w:b w:val="0"/>
                                <w:bCs/>
                              </w:rPr>
                              <w:t>CCS E 09</w:t>
                            </w:r>
                          </w:p>
                          <w:p w14:paraId="159509B5">
                            <w:pPr>
                              <w:spacing w:line="240" w:lineRule="atLeast"/>
                              <w:rPr>
                                <w:rFonts w:hint="default" w:ascii="黑体" w:hAnsi="黑体" w:eastAsia="黑体" w:cs="黑体"/>
                                <w:lang w:val="en-US" w:eastAsia="zh-CN"/>
                              </w:rPr>
                            </w:pPr>
                          </w:p>
                        </w:txbxContent>
                      </wps:txbx>
                      <wps:bodyPr rot="0" vert="horz" wrap="square" lIns="0" tIns="0" rIns="0" bIns="0" anchor="t" anchorCtr="0" upright="1">
                        <a:spAutoFit/>
                      </wps:bodyPr>
                    </wps:wsp>
                  </a:graphicData>
                </a:graphic>
              </wp:anchor>
            </w:drawing>
          </mc:Choice>
          <mc:Fallback>
            <w:pict>
              <v:shape id="fmFrame1" o:spid="_x0000_s1026" o:spt="202" type="#_x0000_t202" style="position:absolute;left:0pt;margin-left:0pt;margin-top:0pt;height:51.8pt;width:200pt;mso-position-horizontal-relative:margin;mso-position-vertical-relative:margin;z-index:251659264;mso-width-relative:page;mso-height-relative:page;" fillcolor="#FFFFFF" filled="t" stroked="f" coordsize="21600,21600" o:gfxdata="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C+fOSHVAAAABQEAAA8AAAAA&#10;AAAAAQAgAAAAIgAAAGRycy9kb3ducmV2LnhtbFBLAQIUABQAAAAIAIdO4kAEQ9fYFwIAADMEAAAO&#10;AAAAAAAAAAEAIAAAACQBAABkcnMvZTJvRG9jLnhtbFBLBQYAAAAABgAGAFkBAACtBQAAAAA=&#10;">
                <v:fill on="t" focussize="0,0"/>
                <v:stroke on="f"/>
                <v:imagedata o:title=""/>
                <o:lock v:ext="edit" aspectratio="f"/>
                <v:textbox inset="0mm,0mm,0mm,0mm" style="mso-fit-shape-to-text:t;">
                  <w:txbxContent>
                    <w:p w14:paraId="5CD62BBF">
                      <w:pPr>
                        <w:pStyle w:val="61"/>
                        <w:spacing w:line="0" w:lineRule="atLeast"/>
                        <w:rPr>
                          <w:rFonts w:hint="eastAsia" w:ascii="黑体" w:hAnsi="黑体" w:eastAsia="黑体" w:cs="黑体"/>
                          <w:b w:val="0"/>
                          <w:bCs/>
                        </w:rPr>
                      </w:pPr>
                      <w:r>
                        <w:rPr>
                          <w:rFonts w:hint="eastAsia" w:ascii="黑体" w:hAnsi="黑体" w:eastAsia="黑体" w:cs="黑体"/>
                          <w:b w:val="0"/>
                          <w:bCs/>
                        </w:rPr>
                        <w:t xml:space="preserve">ICS </w:t>
                      </w:r>
                      <w:r>
                        <w:rPr>
                          <w:rFonts w:hint="eastAsia" w:ascii="黑体" w:hAnsi="黑体" w:eastAsia="黑体" w:cs="黑体"/>
                          <w:b w:val="0"/>
                          <w:bCs/>
                          <w:snapToGrid w:val="0"/>
                        </w:rPr>
                        <w:t>13.100</w:t>
                      </w:r>
                    </w:p>
                    <w:p w14:paraId="64CF7F88">
                      <w:pPr>
                        <w:spacing w:line="240" w:lineRule="atLeast"/>
                        <w:rPr>
                          <w:rFonts w:hint="eastAsia" w:ascii="黑体" w:hAnsi="黑体" w:eastAsia="黑体" w:cs="黑体"/>
                          <w:b w:val="0"/>
                          <w:bCs/>
                        </w:rPr>
                      </w:pPr>
                      <w:r>
                        <w:rPr>
                          <w:rFonts w:hint="eastAsia" w:ascii="黑体" w:hAnsi="黑体" w:eastAsia="黑体" w:cs="黑体"/>
                          <w:b w:val="0"/>
                          <w:bCs/>
                        </w:rPr>
                        <w:t>CCS E 09</w:t>
                      </w:r>
                    </w:p>
                    <w:p w14:paraId="159509B5">
                      <w:pPr>
                        <w:spacing w:line="240" w:lineRule="atLeast"/>
                        <w:rPr>
                          <w:rFonts w:hint="default" w:ascii="黑体" w:hAnsi="黑体" w:eastAsia="黑体" w:cs="黑体"/>
                          <w:lang w:val="en-US" w:eastAsia="zh-CN"/>
                        </w:rPr>
                      </w:pPr>
                    </w:p>
                  </w:txbxContent>
                </v:textbox>
                <w10:anchorlock/>
              </v:shape>
            </w:pict>
          </mc:Fallback>
        </mc:AlternateContent>
      </w:r>
      <w:r>
        <w:rPr>
          <w:rFonts w:hint="eastAsia"/>
          <w:highlight w:val="none"/>
          <w:lang w:eastAsia="zh-CN"/>
        </w:rPr>
        <w:t>[]</w:t>
      </w:r>
    </w:p>
    <w:bookmarkEnd w:id="0"/>
    <w:p w14:paraId="502CCCB4">
      <w:pPr>
        <w:pStyle w:val="81"/>
        <w:spacing w:before="720"/>
        <w:rPr>
          <w:rFonts w:hint="eastAsia" w:eastAsia="黑体"/>
          <w:highlight w:val="none"/>
          <w:lang w:val="en-US" w:eastAsia="zh-CN"/>
        </w:rPr>
      </w:pPr>
      <w:bookmarkStart w:id="4" w:name="_Toc2239"/>
      <w:bookmarkStart w:id="5" w:name="_Toc1707"/>
      <w:bookmarkStart w:id="6" w:name="_Toc28958"/>
      <w:bookmarkStart w:id="7" w:name="_Toc25321"/>
      <w:bookmarkStart w:id="8" w:name="_Toc13225"/>
      <w:bookmarkStart w:id="9" w:name="_Toc28894"/>
      <w:bookmarkStart w:id="10" w:name="_Toc11980"/>
      <w:bookmarkStart w:id="11" w:name="_Toc163435745"/>
      <w:bookmarkStart w:id="12" w:name="_Toc23490"/>
      <w:bookmarkStart w:id="13" w:name="_Toc31078"/>
      <w:bookmarkStart w:id="14" w:name="_Toc8536"/>
      <w:bookmarkStart w:id="15" w:name="_Toc1135"/>
      <w:bookmarkStart w:id="16" w:name="_Toc20203"/>
      <w:bookmarkStart w:id="17" w:name="_Toc4071"/>
      <w:bookmarkStart w:id="18" w:name="_Toc23169"/>
      <w:bookmarkStart w:id="19" w:name="_Toc8571"/>
      <w:r>
        <w:rPr>
          <w:sz w:val="21"/>
          <w:highlight w:val="none"/>
        </w:rPr>
        <mc:AlternateContent>
          <mc:Choice Requires="wps">
            <w:drawing>
              <wp:anchor distT="0" distB="0" distL="114300" distR="114300" simplePos="0" relativeHeight="251711488" behindDoc="0" locked="0" layoutInCell="1" hidden="1" allowOverlap="1">
                <wp:simplePos x="0" y="0"/>
                <wp:positionH relativeFrom="column">
                  <wp:posOffset>1166495</wp:posOffset>
                </wp:positionH>
                <wp:positionV relativeFrom="paragraph">
                  <wp:posOffset>-8890</wp:posOffset>
                </wp:positionV>
                <wp:extent cx="4968240" cy="0"/>
                <wp:effectExtent l="0" t="0" r="0" b="0"/>
                <wp:wrapNone/>
                <wp:docPr id="89" name="直接连接符 89" hidden="1"/>
                <wp:cNvGraphicFramePr/>
                <a:graphic xmlns:a="http://schemas.openxmlformats.org/drawingml/2006/main">
                  <a:graphicData uri="http://schemas.microsoft.com/office/word/2010/wordprocessingShape">
                    <wps:wsp>
                      <wps:cNvCnPr/>
                      <wps:spPr>
                        <a:xfrm>
                          <a:off x="0" y="0"/>
                          <a:ext cx="496824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91.85pt;margin-top:-0.7pt;height:0pt;width:391.2pt;visibility:hidden;z-index:251711488;mso-width-relative:page;mso-height-relative:page;" filled="f" stroked="t" coordsize="21600,21600" o:gfxdata="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k2mOq1wAAAAkBAAAPAAAAAAAAAAEAIAAAACIAAABkcnMvZG93bnJldi54bWxQSwECFAAUAAAA&#10;CACHTuJAywY9ee8BAAC+AwAADgAAAAAAAAABACAAAAAmAQAAZHJzL2Uyb0RvYy54bWxQSwUGAAAA&#10;AAYABgBZAQAAhwU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702272" behindDoc="0" locked="0" layoutInCell="1" hidden="1" allowOverlap="1">
                <wp:simplePos x="0" y="0"/>
                <wp:positionH relativeFrom="column">
                  <wp:posOffset>2602865</wp:posOffset>
                </wp:positionH>
                <wp:positionV relativeFrom="paragraph">
                  <wp:posOffset>708025</wp:posOffset>
                </wp:positionV>
                <wp:extent cx="0" cy="431800"/>
                <wp:effectExtent l="5080" t="0" r="13970" b="6350"/>
                <wp:wrapNone/>
                <wp:docPr id="63" name="直接连接符 63" hidden="1"/>
                <wp:cNvGraphicFramePr/>
                <a:graphic xmlns:a="http://schemas.openxmlformats.org/drawingml/2006/main">
                  <a:graphicData uri="http://schemas.microsoft.com/office/word/2010/wordprocessingShape">
                    <wps:wsp>
                      <wps:cNvCnPr/>
                      <wps:spPr>
                        <a:xfrm>
                          <a:off x="3616325" y="1787525"/>
                          <a:ext cx="0" cy="43180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204.95pt;margin-top:55.75pt;height:34pt;width:0pt;visibility:hidden;z-index:251702272;mso-width-relative:page;mso-height-relative:page;" filled="f" stroked="t" coordsize="21600,21600" o:gfxdata="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ZP5ICdcAAAALAQAADwAAAAAAAAABACAAAAAiAAAAZHJzL2Rvd25yZXYueG1s&#10;UEsBAhQAFAAAAAgAh07iQLOExWv5AQAAyQMAAA4AAAAAAAAAAQAgAAAAJgEAAGRycy9lMm9Eb2Mu&#10;eG1sUEsFBgAAAAAGAAYAWQEAAJEFA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701248" behindDoc="0" locked="0" layoutInCell="1" hidden="1" allowOverlap="1">
                <wp:simplePos x="0" y="0"/>
                <wp:positionH relativeFrom="column">
                  <wp:posOffset>2684145</wp:posOffset>
                </wp:positionH>
                <wp:positionV relativeFrom="paragraph">
                  <wp:posOffset>-3810</wp:posOffset>
                </wp:positionV>
                <wp:extent cx="0" cy="539750"/>
                <wp:effectExtent l="4445" t="0" r="14605" b="12700"/>
                <wp:wrapNone/>
                <wp:docPr id="59" name="直接连接符 59" hidden="1"/>
                <wp:cNvGraphicFramePr/>
                <a:graphic xmlns:a="http://schemas.openxmlformats.org/drawingml/2006/main">
                  <a:graphicData uri="http://schemas.microsoft.com/office/word/2010/wordprocessingShape">
                    <wps:wsp>
                      <wps:cNvCnPr/>
                      <wps:spPr>
                        <a:xfrm flipV="1">
                          <a:off x="3574415" y="870585"/>
                          <a:ext cx="0" cy="53975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flip:y;margin-left:211.35pt;margin-top:-0.3pt;height:42.5pt;width:0pt;visibility:hidden;z-index:251701248;mso-width-relative:page;mso-height-relative:page;" filled="f" stroked="t" coordsize="21600,21600" o:gfxdata="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0fnnLNcAAAAIAQAADwAAAAAAAAABACAAAAAiAAAAZHJz&#10;L2Rvd25yZXYueG1sUEsBAhQAFAAAAAgAh07iQLfY9OIFAgAA0gMAAA4AAAAAAAAAAQAgAAAAJgEA&#10;AGRycy9lMm9Eb2MueG1sUEsFBgAAAAAGAAYAWQEAAJ0FAAAAAA==&#10;">
                <v:fill on="f" focussize="0,0"/>
                <v:stroke weight="0.5pt" color="#ED7D31 [3205]" miterlimit="8" joinstyle="miter"/>
                <v:imagedata o:title=""/>
                <o:lock v:ext="edit" aspectratio="f"/>
              </v:line>
            </w:pict>
          </mc:Fallback>
        </mc:AlternateContent>
      </w:r>
      <w:r>
        <w:rPr>
          <w:rFonts w:hint="eastAsia"/>
          <w:highlight w:val="none"/>
        </w:rPr>
        <w:t>目</w:t>
      </w:r>
      <w:bookmarkStart w:id="20" w:name="BKML"/>
      <w:r>
        <w:rPr>
          <w:rFonts w:hint="eastAsia"/>
          <w:highlight w:val="none"/>
        </w:rPr>
        <w:t>  </w:t>
      </w:r>
      <w:bookmarkEnd w:id="1"/>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20"/>
      <w:r>
        <w:rPr>
          <w:rFonts w:hint="eastAsia"/>
          <w:lang w:val="en-US" w:eastAsia="zh-CN"/>
        </w:rPr>
        <w:t>次</w:t>
      </w:r>
      <w:bookmarkEnd w:id="19"/>
    </w:p>
    <w:p w14:paraId="4ECDA785">
      <w:pPr>
        <w:pStyle w:val="23"/>
        <w:tabs>
          <w:tab w:val="right" w:leader="dot" w:pos="9354"/>
          <w:tab w:val="clear" w:pos="9241"/>
        </w:tabs>
        <w:rPr>
          <w:rFonts w:hint="eastAsia" w:ascii="宋体" w:hAnsi="宋体" w:eastAsia="宋体" w:cs="宋体"/>
        </w:rPr>
      </w:pPr>
      <w:r>
        <w:rPr>
          <w:rFonts w:hint="eastAsia" w:ascii="宋体" w:hAnsi="宋体" w:eastAsia="宋体" w:cs="宋体"/>
          <w:b w:val="0"/>
          <w:bCs w:val="0"/>
          <w:highlight w:val="none"/>
          <w:lang w:val="en-US" w:eastAsia="zh-CN"/>
        </w:rPr>
        <w:fldChar w:fldCharType="begin"/>
      </w:r>
      <w:r>
        <w:rPr>
          <w:rFonts w:hint="eastAsia" w:ascii="宋体" w:hAnsi="宋体" w:eastAsia="宋体" w:cs="宋体"/>
          <w:b w:val="0"/>
          <w:bCs w:val="0"/>
          <w:highlight w:val="none"/>
          <w:lang w:val="en-US" w:eastAsia="zh-CN"/>
        </w:rPr>
        <w:instrText xml:space="preserve"> TOC \o "1-2" \h \z \u </w:instrText>
      </w:r>
      <w:r>
        <w:rPr>
          <w:rFonts w:hint="eastAsia" w:ascii="宋体" w:hAnsi="宋体" w:eastAsia="宋体" w:cs="宋体"/>
          <w:b w:val="0"/>
          <w:bCs w:val="0"/>
          <w:highlight w:val="none"/>
          <w:lang w:val="en-US" w:eastAsia="zh-CN"/>
        </w:rPr>
        <w:fldChar w:fldCharType="separate"/>
      </w: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_Toc12259 </w:instrText>
      </w:r>
      <w:r>
        <w:rPr>
          <w:rFonts w:hint="eastAsia" w:ascii="宋体" w:hAnsi="宋体" w:eastAsia="宋体" w:cs="宋体"/>
          <w:bCs w:val="0"/>
          <w:highlight w:val="none"/>
          <w:lang w:val="en-US" w:eastAsia="zh-CN"/>
        </w:rPr>
        <w:fldChar w:fldCharType="separate"/>
      </w:r>
      <w:r>
        <w:rPr>
          <w:rFonts w:hint="eastAsia" w:ascii="宋体" w:hAnsi="宋体" w:eastAsia="宋体" w:cs="宋体"/>
          <w:highlight w:val="none"/>
        </w:rPr>
        <w:t>前　言</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_Toc12259 \h </w:instrText>
      </w:r>
      <w:r>
        <w:rPr>
          <w:rFonts w:hint="eastAsia" w:ascii="宋体" w:hAnsi="宋体" w:eastAsia="宋体" w:cs="宋体"/>
        </w:rPr>
        <w:fldChar w:fldCharType="separate"/>
      </w:r>
      <w:r>
        <w:rPr>
          <w:rFonts w:hint="eastAsia" w:ascii="宋体" w:hAnsi="宋体" w:eastAsia="宋体" w:cs="宋体"/>
        </w:rPr>
        <w:t>III</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5BCFB53D">
      <w:pPr>
        <w:pStyle w:val="23"/>
        <w:tabs>
          <w:tab w:val="right" w:leader="dot" w:pos="9354"/>
          <w:tab w:val="clear" w:pos="9241"/>
        </w:tabs>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_Toc14037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i w:val="0"/>
          <w:szCs w:val="21"/>
        </w:rPr>
        <w:t xml:space="preserve">1 </w:t>
      </w:r>
      <w:r>
        <w:rPr>
          <w:rFonts w:hint="eastAsia" w:ascii="宋体" w:hAnsi="宋体" w:eastAsia="宋体" w:cs="宋体"/>
          <w:highlight w:val="none"/>
        </w:rPr>
        <w:t>范围</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_Toc14037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69906A38">
      <w:pPr>
        <w:pStyle w:val="23"/>
        <w:tabs>
          <w:tab w:val="right" w:leader="dot" w:pos="9354"/>
          <w:tab w:val="clear" w:pos="9241"/>
        </w:tabs>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_Toc9197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i w:val="0"/>
          <w:szCs w:val="21"/>
        </w:rPr>
        <w:t xml:space="preserve">2 </w:t>
      </w:r>
      <w:r>
        <w:rPr>
          <w:rFonts w:hint="eastAsia" w:ascii="宋体" w:hAnsi="宋体" w:eastAsia="宋体" w:cs="宋体"/>
          <w:highlight w:val="none"/>
        </w:rPr>
        <w:t>规范性引用文件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_Toc9197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16D75832">
      <w:pPr>
        <w:pStyle w:val="23"/>
        <w:tabs>
          <w:tab w:val="right" w:leader="dot" w:pos="9354"/>
          <w:tab w:val="clear" w:pos="9241"/>
        </w:tabs>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_Toc19851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i w:val="0"/>
          <w:szCs w:val="21"/>
        </w:rPr>
        <w:t xml:space="preserve">3 </w:t>
      </w:r>
      <w:r>
        <w:rPr>
          <w:rFonts w:hint="eastAsia" w:ascii="宋体" w:hAnsi="宋体" w:eastAsia="宋体" w:cs="宋体"/>
          <w:highlight w:val="none"/>
        </w:rPr>
        <w:t>术语和定义</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_Toc19851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73F55D42">
      <w:pPr>
        <w:pStyle w:val="23"/>
        <w:tabs>
          <w:tab w:val="right" w:leader="dot" w:pos="9354"/>
          <w:tab w:val="clear" w:pos="9241"/>
        </w:tabs>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_Toc23023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i w:val="0"/>
          <w:szCs w:val="21"/>
          <w:lang w:val="en-US" w:eastAsia="zh-CN"/>
        </w:rPr>
        <w:t xml:space="preserve">4 </w:t>
      </w:r>
      <w:r>
        <w:rPr>
          <w:rFonts w:hint="eastAsia" w:ascii="宋体" w:hAnsi="宋体" w:eastAsia="宋体" w:cs="宋体"/>
          <w:highlight w:val="none"/>
          <w:lang w:val="en-US" w:eastAsia="zh-CN"/>
        </w:rPr>
        <w:t>总体要求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_Toc23023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231A7690">
      <w:pPr>
        <w:pStyle w:val="23"/>
        <w:tabs>
          <w:tab w:val="right" w:leader="dot" w:pos="9354"/>
          <w:tab w:val="clear" w:pos="9241"/>
        </w:tabs>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_Toc17723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i w:val="0"/>
          <w:szCs w:val="21"/>
          <w:lang w:val="en-US" w:eastAsia="zh-CN"/>
        </w:rPr>
        <w:t xml:space="preserve">5 </w:t>
      </w:r>
      <w:r>
        <w:rPr>
          <w:rFonts w:hint="eastAsia" w:ascii="宋体" w:hAnsi="宋体" w:eastAsia="宋体" w:cs="宋体"/>
          <w:bCs/>
          <w:szCs w:val="21"/>
          <w:highlight w:val="none"/>
          <w:lang w:val="en-US" w:eastAsia="zh-CN"/>
        </w:rPr>
        <w:t>评价概述</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_Toc17723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54BBE2DF">
      <w:pPr>
        <w:pStyle w:val="32"/>
        <w:keepNext w:val="0"/>
        <w:keepLines w:val="0"/>
        <w:pageBreakBefore w:val="0"/>
        <w:widowControl w:val="0"/>
        <w:tabs>
          <w:tab w:val="right" w:leader="dot" w:pos="9354"/>
          <w:tab w:val="clear" w:pos="9241"/>
        </w:tabs>
        <w:kinsoku/>
        <w:wordWrap/>
        <w:overflowPunct/>
        <w:topLinePunct w:val="0"/>
        <w:autoSpaceDE/>
        <w:autoSpaceDN/>
        <w:bidi w:val="0"/>
        <w:adjustRightInd/>
        <w:snapToGrid/>
        <w:ind w:firstLine="210" w:firstLineChars="100"/>
        <w:textAlignment w:val="auto"/>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_Toc3423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highlight w:val="none"/>
          <w:lang w:val="en-US" w:eastAsia="zh-CN"/>
        </w:rPr>
        <w:t>5.1</w:t>
      </w:r>
      <w:r>
        <w:rPr>
          <w:rFonts w:hint="eastAsia" w:ascii="宋体" w:hAnsi="宋体" w:eastAsia="宋体" w:cs="宋体"/>
          <w:bCs/>
          <w:szCs w:val="21"/>
          <w:highlight w:val="none"/>
          <w:lang w:val="en-US" w:eastAsia="zh-CN"/>
        </w:rPr>
        <w:t>评价目的</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_Toc3423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68996991">
      <w:pPr>
        <w:pStyle w:val="32"/>
        <w:keepNext w:val="0"/>
        <w:keepLines w:val="0"/>
        <w:pageBreakBefore w:val="0"/>
        <w:widowControl w:val="0"/>
        <w:tabs>
          <w:tab w:val="right" w:leader="dot" w:pos="9354"/>
          <w:tab w:val="clear" w:pos="9241"/>
        </w:tabs>
        <w:kinsoku/>
        <w:wordWrap/>
        <w:overflowPunct/>
        <w:topLinePunct w:val="0"/>
        <w:autoSpaceDE/>
        <w:autoSpaceDN/>
        <w:bidi w:val="0"/>
        <w:adjustRightInd/>
        <w:snapToGrid/>
        <w:ind w:firstLine="210" w:firstLineChars="100"/>
        <w:textAlignment w:val="auto"/>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_Toc9354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highlight w:val="none"/>
          <w:lang w:val="en-US" w:eastAsia="zh-CN"/>
        </w:rPr>
        <w:t>5.2</w:t>
      </w:r>
      <w:r>
        <w:rPr>
          <w:rFonts w:hint="eastAsia" w:ascii="宋体" w:hAnsi="宋体" w:eastAsia="宋体" w:cs="宋体"/>
          <w:bCs/>
          <w:szCs w:val="21"/>
          <w:highlight w:val="none"/>
          <w:lang w:val="en-US" w:eastAsia="zh-CN"/>
        </w:rPr>
        <w:t>评价范围</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_Toc9354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5BCC3D6E">
      <w:pPr>
        <w:pStyle w:val="32"/>
        <w:keepNext w:val="0"/>
        <w:keepLines w:val="0"/>
        <w:pageBreakBefore w:val="0"/>
        <w:widowControl w:val="0"/>
        <w:tabs>
          <w:tab w:val="right" w:leader="dot" w:pos="9354"/>
          <w:tab w:val="clear" w:pos="9241"/>
        </w:tabs>
        <w:kinsoku/>
        <w:wordWrap/>
        <w:overflowPunct/>
        <w:topLinePunct w:val="0"/>
        <w:autoSpaceDE/>
        <w:autoSpaceDN/>
        <w:bidi w:val="0"/>
        <w:adjustRightInd/>
        <w:snapToGrid/>
        <w:ind w:firstLine="210" w:firstLineChars="100"/>
        <w:textAlignment w:val="auto"/>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_Toc10031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highlight w:val="none"/>
          <w:lang w:val="en-US" w:eastAsia="zh-CN"/>
        </w:rPr>
        <w:t>5.3</w:t>
      </w:r>
      <w:r>
        <w:rPr>
          <w:rFonts w:hint="eastAsia" w:ascii="宋体" w:hAnsi="宋体" w:eastAsia="宋体" w:cs="宋体"/>
          <w:bCs/>
          <w:szCs w:val="21"/>
          <w:highlight w:val="none"/>
          <w:lang w:val="en-US" w:eastAsia="zh-CN"/>
        </w:rPr>
        <w:t>评价依据</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_Toc10031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41055D61">
      <w:pPr>
        <w:pStyle w:val="32"/>
        <w:keepNext w:val="0"/>
        <w:keepLines w:val="0"/>
        <w:pageBreakBefore w:val="0"/>
        <w:widowControl w:val="0"/>
        <w:tabs>
          <w:tab w:val="right" w:leader="dot" w:pos="9354"/>
          <w:tab w:val="clear" w:pos="9241"/>
        </w:tabs>
        <w:kinsoku/>
        <w:wordWrap/>
        <w:overflowPunct/>
        <w:topLinePunct w:val="0"/>
        <w:autoSpaceDE/>
        <w:autoSpaceDN/>
        <w:bidi w:val="0"/>
        <w:adjustRightInd/>
        <w:snapToGrid/>
        <w:ind w:firstLine="210" w:firstLineChars="100"/>
        <w:textAlignment w:val="auto"/>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_Toc16898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szCs w:val="21"/>
          <w:highlight w:val="none"/>
          <w:lang w:val="en-US" w:eastAsia="zh-CN"/>
        </w:rPr>
        <w:t>5.4评价程序</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_Toc16898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4DBC73A8">
      <w:pPr>
        <w:pStyle w:val="23"/>
        <w:tabs>
          <w:tab w:val="right" w:leader="dot" w:pos="9354"/>
          <w:tab w:val="clear" w:pos="9241"/>
        </w:tabs>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_Toc22454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i w:val="0"/>
          <w:szCs w:val="21"/>
          <w:lang w:val="en-US" w:eastAsia="zh-CN"/>
        </w:rPr>
        <w:t xml:space="preserve">6 </w:t>
      </w:r>
      <w:r>
        <w:rPr>
          <w:rFonts w:hint="eastAsia" w:ascii="宋体" w:hAnsi="宋体" w:eastAsia="宋体" w:cs="宋体"/>
          <w:bCs/>
          <w:szCs w:val="21"/>
          <w:highlight w:val="none"/>
          <w:lang w:val="en-US" w:eastAsia="zh-CN"/>
        </w:rPr>
        <w:t>企业概况</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_Toc22454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2D3A7949">
      <w:pPr>
        <w:pStyle w:val="32"/>
        <w:keepNext w:val="0"/>
        <w:keepLines w:val="0"/>
        <w:pageBreakBefore w:val="0"/>
        <w:widowControl w:val="0"/>
        <w:tabs>
          <w:tab w:val="right" w:leader="dot" w:pos="9354"/>
          <w:tab w:val="clear" w:pos="9241"/>
        </w:tabs>
        <w:kinsoku/>
        <w:wordWrap/>
        <w:overflowPunct/>
        <w:topLinePunct w:val="0"/>
        <w:autoSpaceDE/>
        <w:autoSpaceDN/>
        <w:bidi w:val="0"/>
        <w:adjustRightInd/>
        <w:snapToGrid/>
        <w:ind w:firstLine="210" w:firstLineChars="100"/>
        <w:textAlignment w:val="auto"/>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_Toc14528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highlight w:val="none"/>
          <w:lang w:val="en-US" w:eastAsia="zh-CN"/>
        </w:rPr>
        <w:t>6.1</w:t>
      </w:r>
      <w:r>
        <w:rPr>
          <w:rFonts w:hint="eastAsia" w:ascii="宋体" w:hAnsi="宋体" w:eastAsia="宋体" w:cs="宋体"/>
          <w:bCs/>
          <w:szCs w:val="21"/>
          <w:highlight w:val="none"/>
          <w:lang w:val="en-US" w:eastAsia="zh-CN"/>
        </w:rPr>
        <w:t>基本情况</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_Toc14528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3D216D38">
      <w:pPr>
        <w:pStyle w:val="32"/>
        <w:keepNext w:val="0"/>
        <w:keepLines w:val="0"/>
        <w:pageBreakBefore w:val="0"/>
        <w:widowControl w:val="0"/>
        <w:tabs>
          <w:tab w:val="right" w:leader="dot" w:pos="9354"/>
          <w:tab w:val="clear" w:pos="9241"/>
        </w:tabs>
        <w:kinsoku/>
        <w:wordWrap/>
        <w:overflowPunct/>
        <w:topLinePunct w:val="0"/>
        <w:autoSpaceDE/>
        <w:autoSpaceDN/>
        <w:bidi w:val="0"/>
        <w:adjustRightInd/>
        <w:snapToGrid/>
        <w:ind w:firstLine="210" w:firstLineChars="100"/>
        <w:textAlignment w:val="auto"/>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_Toc28955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highlight w:val="none"/>
          <w:lang w:val="en-US" w:eastAsia="zh-CN"/>
        </w:rPr>
        <w:t>6.2</w:t>
      </w:r>
      <w:r>
        <w:rPr>
          <w:rFonts w:hint="eastAsia" w:ascii="宋体" w:hAnsi="宋体" w:eastAsia="宋体" w:cs="宋体"/>
          <w:bCs/>
          <w:szCs w:val="21"/>
          <w:highlight w:val="none"/>
          <w:lang w:val="en-US" w:eastAsia="zh-CN"/>
        </w:rPr>
        <w:t>设备设施及生产作业现状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_Toc28955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4CC1EEC7">
      <w:pPr>
        <w:pStyle w:val="32"/>
        <w:keepNext w:val="0"/>
        <w:keepLines w:val="0"/>
        <w:pageBreakBefore w:val="0"/>
        <w:widowControl w:val="0"/>
        <w:tabs>
          <w:tab w:val="right" w:leader="dot" w:pos="9354"/>
          <w:tab w:val="clear" w:pos="9241"/>
        </w:tabs>
        <w:kinsoku/>
        <w:wordWrap/>
        <w:overflowPunct/>
        <w:topLinePunct w:val="0"/>
        <w:autoSpaceDE/>
        <w:autoSpaceDN/>
        <w:bidi w:val="0"/>
        <w:adjustRightInd/>
        <w:snapToGrid/>
        <w:ind w:firstLine="210" w:firstLineChars="100"/>
        <w:textAlignment w:val="auto"/>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_Toc12241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szCs w:val="21"/>
          <w:highlight w:val="none"/>
          <w:lang w:val="en-US" w:eastAsia="zh-CN"/>
        </w:rPr>
        <w:t>6.3生产安全事故情况</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_Toc12241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7E1E2282">
      <w:pPr>
        <w:pStyle w:val="23"/>
        <w:tabs>
          <w:tab w:val="right" w:leader="dot" w:pos="9354"/>
          <w:tab w:val="clear" w:pos="9241"/>
        </w:tabs>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_Toc3535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i w:val="0"/>
          <w:szCs w:val="21"/>
          <w:lang w:val="en-US" w:eastAsia="zh-CN"/>
        </w:rPr>
        <w:t xml:space="preserve">7 </w:t>
      </w:r>
      <w:r>
        <w:rPr>
          <w:rFonts w:hint="eastAsia" w:ascii="宋体" w:hAnsi="宋体" w:eastAsia="宋体" w:cs="宋体"/>
          <w:bCs/>
          <w:szCs w:val="21"/>
          <w:highlight w:val="none"/>
          <w:lang w:val="en-US" w:eastAsia="zh-CN"/>
        </w:rPr>
        <w:t>评价单元划分与评价方法选择</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_Toc3535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233ED890">
      <w:pPr>
        <w:pStyle w:val="32"/>
        <w:keepNext w:val="0"/>
        <w:keepLines w:val="0"/>
        <w:pageBreakBefore w:val="0"/>
        <w:widowControl w:val="0"/>
        <w:tabs>
          <w:tab w:val="right" w:leader="dot" w:pos="9354"/>
          <w:tab w:val="clear" w:pos="9241"/>
        </w:tabs>
        <w:kinsoku/>
        <w:wordWrap/>
        <w:overflowPunct/>
        <w:topLinePunct w:val="0"/>
        <w:autoSpaceDE/>
        <w:autoSpaceDN/>
        <w:bidi w:val="0"/>
        <w:adjustRightInd/>
        <w:snapToGrid/>
        <w:ind w:firstLine="210" w:firstLineChars="100"/>
        <w:textAlignment w:val="auto"/>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_Toc28968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highlight w:val="none"/>
          <w:lang w:val="en-US" w:eastAsia="zh-CN"/>
        </w:rPr>
        <w:t>7.1</w:t>
      </w:r>
      <w:r>
        <w:rPr>
          <w:rFonts w:hint="eastAsia" w:ascii="宋体" w:hAnsi="宋体" w:eastAsia="宋体" w:cs="宋体"/>
          <w:highlight w:val="none"/>
          <w:lang w:val="en-US" w:eastAsia="zh-CN"/>
        </w:rPr>
        <w:t>评价单元划分</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_Toc28968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7133F533">
      <w:pPr>
        <w:pStyle w:val="32"/>
        <w:keepNext w:val="0"/>
        <w:keepLines w:val="0"/>
        <w:pageBreakBefore w:val="0"/>
        <w:widowControl w:val="0"/>
        <w:tabs>
          <w:tab w:val="right" w:leader="dot" w:pos="9354"/>
          <w:tab w:val="clear" w:pos="9241"/>
        </w:tabs>
        <w:kinsoku/>
        <w:wordWrap/>
        <w:overflowPunct/>
        <w:topLinePunct w:val="0"/>
        <w:autoSpaceDE/>
        <w:autoSpaceDN/>
        <w:bidi w:val="0"/>
        <w:adjustRightInd/>
        <w:snapToGrid/>
        <w:ind w:firstLine="210" w:firstLineChars="100"/>
        <w:textAlignment w:val="auto"/>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_Toc11285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highlight w:val="none"/>
          <w:lang w:val="en-US" w:eastAsia="zh-CN"/>
        </w:rPr>
        <w:t>7.2</w:t>
      </w:r>
      <w:r>
        <w:rPr>
          <w:rFonts w:hint="eastAsia" w:ascii="宋体" w:hAnsi="宋体" w:eastAsia="宋体" w:cs="宋体"/>
          <w:highlight w:val="none"/>
          <w:lang w:val="en-US" w:eastAsia="zh-CN"/>
        </w:rPr>
        <w:t>评价方法选择</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_Toc11285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068584D1">
      <w:pPr>
        <w:pStyle w:val="23"/>
        <w:tabs>
          <w:tab w:val="right" w:leader="dot" w:pos="9354"/>
          <w:tab w:val="clear" w:pos="9241"/>
        </w:tabs>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_Toc30098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i w:val="0"/>
          <w:szCs w:val="21"/>
          <w:lang w:val="en-US" w:eastAsia="zh-CN"/>
        </w:rPr>
        <w:t xml:space="preserve">8 </w:t>
      </w:r>
      <w:r>
        <w:rPr>
          <w:rFonts w:hint="eastAsia" w:ascii="宋体" w:hAnsi="宋体" w:eastAsia="宋体" w:cs="宋体"/>
          <w:bCs/>
          <w:szCs w:val="21"/>
          <w:highlight w:val="none"/>
          <w:lang w:val="en-US" w:eastAsia="zh-CN"/>
        </w:rPr>
        <w:t>危险有害因素辨识与分析</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_Toc30098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4D123E1B">
      <w:pPr>
        <w:pStyle w:val="32"/>
        <w:keepNext w:val="0"/>
        <w:keepLines w:val="0"/>
        <w:pageBreakBefore w:val="0"/>
        <w:widowControl w:val="0"/>
        <w:tabs>
          <w:tab w:val="right" w:leader="dot" w:pos="9354"/>
          <w:tab w:val="clear" w:pos="9241"/>
        </w:tabs>
        <w:kinsoku/>
        <w:wordWrap/>
        <w:overflowPunct/>
        <w:topLinePunct w:val="0"/>
        <w:autoSpaceDE/>
        <w:autoSpaceDN/>
        <w:bidi w:val="0"/>
        <w:adjustRightInd/>
        <w:snapToGrid/>
        <w:ind w:firstLine="210" w:firstLineChars="100"/>
        <w:textAlignment w:val="auto"/>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_Toc28344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highlight w:val="none"/>
          <w:lang w:val="en-US" w:eastAsia="zh-CN"/>
        </w:rPr>
        <w:t>8.1</w:t>
      </w:r>
      <w:r>
        <w:rPr>
          <w:rFonts w:hint="eastAsia" w:ascii="宋体" w:hAnsi="宋体" w:eastAsia="宋体" w:cs="宋体"/>
          <w:highlight w:val="none"/>
          <w:lang w:val="en-US" w:eastAsia="zh-CN"/>
        </w:rPr>
        <w:t>危险有害物质辨识</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_Toc28344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60288ADF">
      <w:pPr>
        <w:pStyle w:val="32"/>
        <w:keepNext w:val="0"/>
        <w:keepLines w:val="0"/>
        <w:pageBreakBefore w:val="0"/>
        <w:widowControl w:val="0"/>
        <w:tabs>
          <w:tab w:val="right" w:leader="dot" w:pos="9354"/>
          <w:tab w:val="clear" w:pos="9241"/>
        </w:tabs>
        <w:kinsoku/>
        <w:wordWrap/>
        <w:overflowPunct/>
        <w:topLinePunct w:val="0"/>
        <w:autoSpaceDE/>
        <w:autoSpaceDN/>
        <w:bidi w:val="0"/>
        <w:adjustRightInd/>
        <w:snapToGrid/>
        <w:ind w:firstLine="210" w:firstLineChars="100"/>
        <w:textAlignment w:val="auto"/>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_Toc29984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highlight w:val="none"/>
          <w:lang w:val="en-US" w:eastAsia="zh-CN"/>
        </w:rPr>
        <w:t>8.2</w:t>
      </w:r>
      <w:r>
        <w:rPr>
          <w:rFonts w:hint="eastAsia" w:ascii="宋体" w:hAnsi="宋体" w:eastAsia="宋体" w:cs="宋体"/>
          <w:highlight w:val="none"/>
          <w:lang w:val="en-US" w:eastAsia="zh-CN"/>
        </w:rPr>
        <w:t>设备设施及生产作业活动危险有害因素辨识与分析</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_Toc29984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4E24A329">
      <w:pPr>
        <w:pStyle w:val="32"/>
        <w:keepNext w:val="0"/>
        <w:keepLines w:val="0"/>
        <w:pageBreakBefore w:val="0"/>
        <w:widowControl w:val="0"/>
        <w:tabs>
          <w:tab w:val="right" w:leader="dot" w:pos="9354"/>
          <w:tab w:val="clear" w:pos="9241"/>
        </w:tabs>
        <w:kinsoku/>
        <w:wordWrap/>
        <w:overflowPunct/>
        <w:topLinePunct w:val="0"/>
        <w:autoSpaceDE/>
        <w:autoSpaceDN/>
        <w:bidi w:val="0"/>
        <w:adjustRightInd/>
        <w:snapToGrid/>
        <w:ind w:firstLine="210" w:firstLineChars="100"/>
        <w:textAlignment w:val="auto"/>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_Toc29773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highlight w:val="none"/>
          <w:lang w:val="en-US" w:eastAsia="zh-CN"/>
        </w:rPr>
        <w:t>8.3</w:t>
      </w:r>
      <w:r>
        <w:rPr>
          <w:rFonts w:hint="eastAsia" w:ascii="宋体" w:hAnsi="宋体" w:eastAsia="宋体" w:cs="宋体"/>
          <w:highlight w:val="none"/>
          <w:lang w:val="en-US" w:eastAsia="zh-CN"/>
        </w:rPr>
        <w:t>安全管理危险有害因素辨识与分析</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_Toc29773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0704F67E">
      <w:pPr>
        <w:pStyle w:val="23"/>
        <w:tabs>
          <w:tab w:val="right" w:leader="dot" w:pos="9354"/>
          <w:tab w:val="clear" w:pos="9241"/>
        </w:tabs>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_Toc18378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i w:val="0"/>
          <w:szCs w:val="21"/>
          <w:lang w:val="en-US" w:eastAsia="zh-CN"/>
        </w:rPr>
        <w:t xml:space="preserve">9 </w:t>
      </w:r>
      <w:r>
        <w:rPr>
          <w:rFonts w:hint="eastAsia" w:ascii="宋体" w:hAnsi="宋体" w:eastAsia="宋体" w:cs="宋体"/>
          <w:bCs/>
          <w:szCs w:val="21"/>
          <w:highlight w:val="none"/>
          <w:lang w:val="en-US" w:eastAsia="zh-CN"/>
        </w:rPr>
        <w:t>设备设施单元评价</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_Toc18378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31FB442D">
      <w:pPr>
        <w:pStyle w:val="32"/>
        <w:keepNext w:val="0"/>
        <w:keepLines w:val="0"/>
        <w:pageBreakBefore w:val="0"/>
        <w:widowControl w:val="0"/>
        <w:tabs>
          <w:tab w:val="right" w:leader="dot" w:pos="9354"/>
          <w:tab w:val="clear" w:pos="9241"/>
        </w:tabs>
        <w:kinsoku/>
        <w:wordWrap/>
        <w:overflowPunct/>
        <w:topLinePunct w:val="0"/>
        <w:autoSpaceDE/>
        <w:autoSpaceDN/>
        <w:bidi w:val="0"/>
        <w:adjustRightInd/>
        <w:snapToGrid/>
        <w:ind w:firstLine="210" w:firstLineChars="100"/>
        <w:textAlignment w:val="auto"/>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_Toc442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highlight w:val="none"/>
          <w:lang w:val="en-US" w:eastAsia="zh-CN"/>
        </w:rPr>
        <w:t>9.1</w:t>
      </w:r>
      <w:r>
        <w:rPr>
          <w:rFonts w:hint="eastAsia" w:ascii="宋体" w:hAnsi="宋体" w:eastAsia="宋体" w:cs="宋体"/>
          <w:highlight w:val="none"/>
          <w:lang w:val="en-US" w:eastAsia="zh-CN"/>
        </w:rPr>
        <w:t>海上采油（气）及管道储运设备设施评价</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_Toc442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77E884F6">
      <w:pPr>
        <w:pStyle w:val="32"/>
        <w:keepNext w:val="0"/>
        <w:keepLines w:val="0"/>
        <w:pageBreakBefore w:val="0"/>
        <w:widowControl w:val="0"/>
        <w:tabs>
          <w:tab w:val="right" w:leader="dot" w:pos="9354"/>
          <w:tab w:val="clear" w:pos="9241"/>
        </w:tabs>
        <w:kinsoku/>
        <w:wordWrap/>
        <w:overflowPunct/>
        <w:topLinePunct w:val="0"/>
        <w:autoSpaceDE/>
        <w:autoSpaceDN/>
        <w:bidi w:val="0"/>
        <w:adjustRightInd/>
        <w:snapToGrid/>
        <w:ind w:firstLine="210" w:firstLineChars="100"/>
        <w:textAlignment w:val="auto"/>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_Toc100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highlight w:val="none"/>
          <w:lang w:val="en-US" w:eastAsia="zh-CN"/>
        </w:rPr>
        <w:t>9.2</w:t>
      </w:r>
      <w:r>
        <w:rPr>
          <w:rFonts w:hint="eastAsia" w:ascii="宋体" w:hAnsi="宋体" w:eastAsia="宋体" w:cs="宋体"/>
          <w:highlight w:val="none"/>
          <w:lang w:val="en-US" w:eastAsia="zh-CN"/>
        </w:rPr>
        <w:t>物探设备设施评价</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_Toc100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3EF96523">
      <w:pPr>
        <w:pStyle w:val="32"/>
        <w:keepNext w:val="0"/>
        <w:keepLines w:val="0"/>
        <w:pageBreakBefore w:val="0"/>
        <w:widowControl w:val="0"/>
        <w:tabs>
          <w:tab w:val="right" w:leader="dot" w:pos="9354"/>
          <w:tab w:val="clear" w:pos="9241"/>
        </w:tabs>
        <w:kinsoku/>
        <w:wordWrap/>
        <w:overflowPunct/>
        <w:topLinePunct w:val="0"/>
        <w:autoSpaceDE/>
        <w:autoSpaceDN/>
        <w:bidi w:val="0"/>
        <w:adjustRightInd/>
        <w:snapToGrid/>
        <w:ind w:firstLine="210" w:firstLineChars="100"/>
        <w:textAlignment w:val="auto"/>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_Toc25058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highlight w:val="none"/>
          <w:lang w:val="en-US" w:eastAsia="zh-CN"/>
        </w:rPr>
        <w:t>9.3</w:t>
      </w:r>
      <w:r>
        <w:rPr>
          <w:rFonts w:hint="eastAsia" w:ascii="宋体" w:hAnsi="宋体" w:eastAsia="宋体" w:cs="宋体"/>
          <w:highlight w:val="none"/>
          <w:lang w:val="en-US" w:eastAsia="zh-CN"/>
        </w:rPr>
        <w:t>钻井设备设施评价</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_Toc25058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692C281D">
      <w:pPr>
        <w:pStyle w:val="32"/>
        <w:keepNext w:val="0"/>
        <w:keepLines w:val="0"/>
        <w:pageBreakBefore w:val="0"/>
        <w:widowControl w:val="0"/>
        <w:tabs>
          <w:tab w:val="right" w:leader="dot" w:pos="9354"/>
          <w:tab w:val="clear" w:pos="9241"/>
        </w:tabs>
        <w:kinsoku/>
        <w:wordWrap/>
        <w:overflowPunct/>
        <w:topLinePunct w:val="0"/>
        <w:autoSpaceDE/>
        <w:autoSpaceDN/>
        <w:bidi w:val="0"/>
        <w:adjustRightInd/>
        <w:snapToGrid/>
        <w:ind w:firstLine="210" w:firstLineChars="100"/>
        <w:textAlignment w:val="auto"/>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_Toc15397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highlight w:val="none"/>
          <w:lang w:val="en-US" w:eastAsia="zh-CN"/>
        </w:rPr>
        <w:t>9.4</w:t>
      </w:r>
      <w:r>
        <w:rPr>
          <w:rFonts w:hint="eastAsia" w:ascii="宋体" w:hAnsi="宋体" w:eastAsia="宋体" w:cs="宋体"/>
          <w:highlight w:val="none"/>
          <w:lang w:val="en-US" w:eastAsia="zh-CN"/>
        </w:rPr>
        <w:t>录井、测井设备设施评价</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_Toc15397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023942ED">
      <w:pPr>
        <w:pStyle w:val="32"/>
        <w:keepNext w:val="0"/>
        <w:keepLines w:val="0"/>
        <w:pageBreakBefore w:val="0"/>
        <w:widowControl w:val="0"/>
        <w:tabs>
          <w:tab w:val="right" w:leader="dot" w:pos="9354"/>
          <w:tab w:val="clear" w:pos="9241"/>
        </w:tabs>
        <w:kinsoku/>
        <w:wordWrap/>
        <w:overflowPunct/>
        <w:topLinePunct w:val="0"/>
        <w:autoSpaceDE/>
        <w:autoSpaceDN/>
        <w:bidi w:val="0"/>
        <w:adjustRightInd/>
        <w:snapToGrid/>
        <w:ind w:firstLine="210" w:firstLineChars="100"/>
        <w:textAlignment w:val="auto"/>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_Toc11159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highlight w:val="none"/>
          <w:lang w:val="en-US" w:eastAsia="zh-CN"/>
        </w:rPr>
        <w:t>9.5</w:t>
      </w:r>
      <w:r>
        <w:rPr>
          <w:rFonts w:hint="eastAsia" w:ascii="宋体" w:hAnsi="宋体" w:eastAsia="宋体" w:cs="宋体"/>
          <w:highlight w:val="none"/>
          <w:lang w:val="en-US" w:eastAsia="zh-CN"/>
        </w:rPr>
        <w:t>井下作业设备设施评价</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_Toc11159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33A53434">
      <w:pPr>
        <w:pStyle w:val="32"/>
        <w:keepNext w:val="0"/>
        <w:keepLines w:val="0"/>
        <w:pageBreakBefore w:val="0"/>
        <w:widowControl w:val="0"/>
        <w:tabs>
          <w:tab w:val="right" w:leader="dot" w:pos="9354"/>
          <w:tab w:val="clear" w:pos="9241"/>
        </w:tabs>
        <w:kinsoku/>
        <w:wordWrap/>
        <w:overflowPunct/>
        <w:topLinePunct w:val="0"/>
        <w:autoSpaceDE/>
        <w:autoSpaceDN/>
        <w:bidi w:val="0"/>
        <w:adjustRightInd/>
        <w:snapToGrid/>
        <w:ind w:firstLine="210" w:firstLineChars="100"/>
        <w:textAlignment w:val="auto"/>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_Toc13117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highlight w:val="none"/>
          <w:lang w:val="en-US" w:eastAsia="zh-CN"/>
        </w:rPr>
        <w:t>9.6</w:t>
      </w:r>
      <w:r>
        <w:rPr>
          <w:rFonts w:hint="eastAsia" w:ascii="宋体" w:hAnsi="宋体" w:eastAsia="宋体" w:cs="宋体"/>
          <w:highlight w:val="none"/>
          <w:lang w:val="en-US" w:eastAsia="zh-CN"/>
        </w:rPr>
        <w:t>海油工程设备设施评价</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_Toc13117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29280DEE">
      <w:pPr>
        <w:pStyle w:val="23"/>
        <w:tabs>
          <w:tab w:val="right" w:leader="dot" w:pos="9354"/>
          <w:tab w:val="clear" w:pos="9241"/>
        </w:tabs>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_Toc26698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i w:val="0"/>
          <w:szCs w:val="21"/>
          <w:lang w:val="en-US" w:eastAsia="zh-CN"/>
        </w:rPr>
        <w:t xml:space="preserve">10 </w:t>
      </w:r>
      <w:r>
        <w:rPr>
          <w:rFonts w:hint="eastAsia" w:ascii="宋体" w:hAnsi="宋体" w:eastAsia="宋体" w:cs="宋体"/>
          <w:bCs/>
          <w:szCs w:val="21"/>
          <w:highlight w:val="none"/>
          <w:lang w:val="en-US" w:eastAsia="zh-CN"/>
        </w:rPr>
        <w:t>生产作业活动单元评价</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_Toc26698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23692BD5">
      <w:pPr>
        <w:pStyle w:val="32"/>
        <w:keepNext w:val="0"/>
        <w:keepLines w:val="0"/>
        <w:pageBreakBefore w:val="0"/>
        <w:widowControl w:val="0"/>
        <w:tabs>
          <w:tab w:val="right" w:leader="dot" w:pos="9354"/>
          <w:tab w:val="clear" w:pos="9241"/>
        </w:tabs>
        <w:kinsoku/>
        <w:wordWrap/>
        <w:overflowPunct/>
        <w:topLinePunct w:val="0"/>
        <w:autoSpaceDE/>
        <w:autoSpaceDN/>
        <w:bidi w:val="0"/>
        <w:adjustRightInd/>
        <w:snapToGrid/>
        <w:ind w:firstLine="210" w:firstLineChars="100"/>
        <w:textAlignment w:val="auto"/>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_Toc15190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highlight w:val="none"/>
          <w:lang w:val="en-US" w:eastAsia="zh-CN"/>
        </w:rPr>
        <w:t>10.1</w:t>
      </w:r>
      <w:r>
        <w:rPr>
          <w:rFonts w:hint="eastAsia" w:ascii="宋体" w:hAnsi="宋体" w:eastAsia="宋体" w:cs="宋体"/>
          <w:highlight w:val="none"/>
          <w:lang w:val="en-US" w:eastAsia="zh-CN"/>
        </w:rPr>
        <w:t>海上采油（气）及管道储运作业活动单元评价</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_Toc15190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07CAEA78">
      <w:pPr>
        <w:pStyle w:val="32"/>
        <w:keepNext w:val="0"/>
        <w:keepLines w:val="0"/>
        <w:pageBreakBefore w:val="0"/>
        <w:widowControl w:val="0"/>
        <w:tabs>
          <w:tab w:val="right" w:leader="dot" w:pos="9354"/>
          <w:tab w:val="clear" w:pos="9241"/>
        </w:tabs>
        <w:kinsoku/>
        <w:wordWrap/>
        <w:overflowPunct/>
        <w:topLinePunct w:val="0"/>
        <w:autoSpaceDE/>
        <w:autoSpaceDN/>
        <w:bidi w:val="0"/>
        <w:adjustRightInd/>
        <w:snapToGrid/>
        <w:ind w:firstLine="210" w:firstLineChars="100"/>
        <w:textAlignment w:val="auto"/>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_Toc10512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highlight w:val="none"/>
          <w:lang w:val="en-US" w:eastAsia="zh-CN"/>
        </w:rPr>
        <w:t>10.2</w:t>
      </w:r>
      <w:r>
        <w:rPr>
          <w:rFonts w:hint="eastAsia" w:ascii="宋体" w:hAnsi="宋体" w:eastAsia="宋体" w:cs="宋体"/>
          <w:highlight w:val="none"/>
          <w:lang w:val="en-US" w:eastAsia="zh-CN"/>
        </w:rPr>
        <w:t>物探作业活动单元评价</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_Toc10512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3342B555">
      <w:pPr>
        <w:pStyle w:val="32"/>
        <w:keepNext w:val="0"/>
        <w:keepLines w:val="0"/>
        <w:pageBreakBefore w:val="0"/>
        <w:widowControl w:val="0"/>
        <w:tabs>
          <w:tab w:val="right" w:leader="dot" w:pos="9354"/>
          <w:tab w:val="clear" w:pos="9241"/>
        </w:tabs>
        <w:kinsoku/>
        <w:wordWrap/>
        <w:overflowPunct/>
        <w:topLinePunct w:val="0"/>
        <w:autoSpaceDE/>
        <w:autoSpaceDN/>
        <w:bidi w:val="0"/>
        <w:adjustRightInd/>
        <w:snapToGrid/>
        <w:ind w:firstLine="210" w:firstLineChars="100"/>
        <w:textAlignment w:val="auto"/>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_Toc13046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highlight w:val="none"/>
          <w:lang w:val="en-US" w:eastAsia="zh-CN"/>
        </w:rPr>
        <w:t>10.3</w:t>
      </w:r>
      <w:r>
        <w:rPr>
          <w:rFonts w:hint="eastAsia" w:ascii="宋体" w:hAnsi="宋体" w:eastAsia="宋体" w:cs="宋体"/>
          <w:highlight w:val="none"/>
          <w:lang w:val="en-US" w:eastAsia="zh-CN"/>
        </w:rPr>
        <w:t>钻井作业活动单元评价</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_Toc13046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5F1E404F">
      <w:pPr>
        <w:pStyle w:val="32"/>
        <w:keepNext w:val="0"/>
        <w:keepLines w:val="0"/>
        <w:pageBreakBefore w:val="0"/>
        <w:widowControl w:val="0"/>
        <w:tabs>
          <w:tab w:val="right" w:leader="dot" w:pos="9354"/>
          <w:tab w:val="clear" w:pos="9241"/>
        </w:tabs>
        <w:kinsoku/>
        <w:wordWrap/>
        <w:overflowPunct/>
        <w:topLinePunct w:val="0"/>
        <w:autoSpaceDE/>
        <w:autoSpaceDN/>
        <w:bidi w:val="0"/>
        <w:adjustRightInd/>
        <w:snapToGrid/>
        <w:ind w:firstLine="210" w:firstLineChars="100"/>
        <w:textAlignment w:val="auto"/>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_Toc17651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highlight w:val="none"/>
          <w:lang w:val="en-US" w:eastAsia="zh-CN"/>
        </w:rPr>
        <w:t>10.4</w:t>
      </w:r>
      <w:r>
        <w:rPr>
          <w:rFonts w:hint="eastAsia" w:ascii="宋体" w:hAnsi="宋体" w:eastAsia="宋体" w:cs="宋体"/>
          <w:highlight w:val="none"/>
          <w:lang w:val="en-US" w:eastAsia="zh-CN"/>
        </w:rPr>
        <w:t>录井、测井作业活动单元评价</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_Toc17651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5EF3028C">
      <w:pPr>
        <w:pStyle w:val="32"/>
        <w:keepNext w:val="0"/>
        <w:keepLines w:val="0"/>
        <w:pageBreakBefore w:val="0"/>
        <w:widowControl w:val="0"/>
        <w:tabs>
          <w:tab w:val="right" w:leader="dot" w:pos="9354"/>
          <w:tab w:val="clear" w:pos="9241"/>
        </w:tabs>
        <w:kinsoku/>
        <w:wordWrap/>
        <w:overflowPunct/>
        <w:topLinePunct w:val="0"/>
        <w:autoSpaceDE/>
        <w:autoSpaceDN/>
        <w:bidi w:val="0"/>
        <w:adjustRightInd/>
        <w:snapToGrid/>
        <w:ind w:firstLine="210" w:firstLineChars="100"/>
        <w:textAlignment w:val="auto"/>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_Toc17693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highlight w:val="none"/>
          <w:lang w:val="en-US" w:eastAsia="zh-CN"/>
        </w:rPr>
        <w:t>10.5</w:t>
      </w:r>
      <w:r>
        <w:rPr>
          <w:rFonts w:hint="eastAsia" w:ascii="宋体" w:hAnsi="宋体" w:eastAsia="宋体" w:cs="宋体"/>
          <w:highlight w:val="none"/>
          <w:lang w:val="en-US" w:eastAsia="zh-CN"/>
        </w:rPr>
        <w:t>井下作业活动单元评价</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_Toc17693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57BD323A">
      <w:pPr>
        <w:pStyle w:val="32"/>
        <w:keepNext w:val="0"/>
        <w:keepLines w:val="0"/>
        <w:pageBreakBefore w:val="0"/>
        <w:widowControl w:val="0"/>
        <w:tabs>
          <w:tab w:val="right" w:leader="dot" w:pos="9354"/>
          <w:tab w:val="clear" w:pos="9241"/>
        </w:tabs>
        <w:kinsoku/>
        <w:wordWrap/>
        <w:overflowPunct/>
        <w:topLinePunct w:val="0"/>
        <w:autoSpaceDE/>
        <w:autoSpaceDN/>
        <w:bidi w:val="0"/>
        <w:adjustRightInd/>
        <w:snapToGrid/>
        <w:ind w:firstLine="210" w:firstLineChars="100"/>
        <w:textAlignment w:val="auto"/>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_Toc4778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highlight w:val="none"/>
          <w:lang w:val="en-US" w:eastAsia="zh-CN"/>
        </w:rPr>
        <w:t>10.6</w:t>
      </w:r>
      <w:r>
        <w:rPr>
          <w:rFonts w:hint="eastAsia" w:ascii="宋体" w:hAnsi="宋体" w:eastAsia="宋体" w:cs="宋体"/>
          <w:highlight w:val="none"/>
          <w:lang w:val="en-US" w:eastAsia="zh-CN"/>
        </w:rPr>
        <w:t>海油工程作业活动单元评价</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_Toc4778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3A882C41">
      <w:pPr>
        <w:pStyle w:val="23"/>
        <w:tabs>
          <w:tab w:val="right" w:leader="dot" w:pos="9354"/>
          <w:tab w:val="clear" w:pos="9241"/>
        </w:tabs>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_Toc11920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i w:val="0"/>
          <w:szCs w:val="21"/>
          <w:lang w:val="en-US" w:eastAsia="zh-CN"/>
        </w:rPr>
        <w:t xml:space="preserve">11 </w:t>
      </w:r>
      <w:r>
        <w:rPr>
          <w:rFonts w:hint="eastAsia" w:ascii="宋体" w:hAnsi="宋体" w:eastAsia="宋体" w:cs="宋体"/>
          <w:bCs/>
          <w:szCs w:val="21"/>
          <w:highlight w:val="none"/>
          <w:lang w:val="en-US" w:eastAsia="zh-CN"/>
        </w:rPr>
        <w:t>安全管理单元评价</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_Toc11920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08BAF493">
      <w:pPr>
        <w:pStyle w:val="23"/>
        <w:tabs>
          <w:tab w:val="right" w:leader="dot" w:pos="9354"/>
          <w:tab w:val="clear" w:pos="9241"/>
        </w:tabs>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_Toc16682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i w:val="0"/>
          <w:szCs w:val="21"/>
          <w:lang w:val="en-US" w:eastAsia="zh-CN"/>
        </w:rPr>
        <w:t xml:space="preserve">12 </w:t>
      </w:r>
      <w:r>
        <w:rPr>
          <w:rFonts w:hint="eastAsia" w:ascii="宋体" w:hAnsi="宋体" w:eastAsia="宋体" w:cs="宋体"/>
          <w:bCs/>
          <w:szCs w:val="21"/>
          <w:highlight w:val="none"/>
          <w:lang w:val="en-US" w:eastAsia="zh-CN"/>
        </w:rPr>
        <w:t>安全对策措施及建议</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_Toc16682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12F7AC3B">
      <w:pPr>
        <w:pStyle w:val="23"/>
        <w:tabs>
          <w:tab w:val="right" w:leader="dot" w:pos="9354"/>
          <w:tab w:val="clear" w:pos="9241"/>
        </w:tabs>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_Toc15017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i w:val="0"/>
          <w:szCs w:val="21"/>
          <w:lang w:val="en-US" w:eastAsia="zh-CN"/>
        </w:rPr>
        <w:t xml:space="preserve">13 </w:t>
      </w:r>
      <w:r>
        <w:rPr>
          <w:rFonts w:hint="eastAsia" w:ascii="宋体" w:hAnsi="宋体" w:eastAsia="宋体" w:cs="宋体"/>
          <w:bCs/>
          <w:szCs w:val="21"/>
          <w:highlight w:val="none"/>
          <w:lang w:val="en-US" w:eastAsia="zh-CN"/>
        </w:rPr>
        <w:t>安全现状评价结论</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_Toc15017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74FC3F0A">
      <w:pPr>
        <w:pStyle w:val="23"/>
        <w:tabs>
          <w:tab w:val="right" w:leader="dot" w:pos="9354"/>
          <w:tab w:val="clear" w:pos="9241"/>
        </w:tabs>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_Toc19890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i w:val="0"/>
          <w:szCs w:val="21"/>
          <w:lang w:val="en-US" w:eastAsia="zh-CN"/>
        </w:rPr>
        <w:t xml:space="preserve">14 </w:t>
      </w:r>
      <w:r>
        <w:rPr>
          <w:rFonts w:hint="eastAsia" w:ascii="宋体" w:hAnsi="宋体" w:eastAsia="宋体" w:cs="宋体"/>
          <w:bCs/>
          <w:szCs w:val="21"/>
          <w:highlight w:val="none"/>
          <w:lang w:val="en-US" w:eastAsia="zh-CN"/>
        </w:rPr>
        <w:t>附件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_Toc19890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24393889">
      <w:pPr>
        <w:pStyle w:val="23"/>
        <w:tabs>
          <w:tab w:val="right" w:leader="dot" w:pos="9354"/>
          <w:tab w:val="clear" w:pos="9241"/>
        </w:tabs>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_Toc7095 </w:instrText>
      </w:r>
      <w:r>
        <w:rPr>
          <w:rFonts w:hint="eastAsia" w:ascii="宋体" w:hAnsi="宋体" w:eastAsia="宋体" w:cs="宋体"/>
          <w:bCs w:val="0"/>
          <w:highlight w:val="none"/>
          <w:lang w:val="en-US" w:eastAsia="zh-CN"/>
        </w:rPr>
        <w:fldChar w:fldCharType="separate"/>
      </w:r>
      <w:r>
        <w:rPr>
          <w:rFonts w:hint="eastAsia" w:ascii="宋体" w:hAnsi="宋体" w:eastAsia="宋体" w:cs="宋体"/>
          <w:bCs/>
          <w:i w:val="0"/>
          <w:szCs w:val="21"/>
          <w:lang w:val="en-US" w:eastAsia="zh-CN"/>
        </w:rPr>
        <w:t xml:space="preserve">15 </w:t>
      </w:r>
      <w:r>
        <w:rPr>
          <w:rFonts w:hint="eastAsia" w:ascii="宋体" w:hAnsi="宋体" w:eastAsia="宋体" w:cs="宋体"/>
          <w:bCs/>
          <w:szCs w:val="21"/>
          <w:highlight w:val="none"/>
          <w:lang w:val="en-US" w:eastAsia="zh-CN"/>
        </w:rPr>
        <w:t>报告格式要求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_Toc7095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0C1FBE1F">
      <w:pPr>
        <w:pStyle w:val="23"/>
        <w:tabs>
          <w:tab w:val="right" w:leader="dot" w:pos="9354"/>
          <w:tab w:val="clear" w:pos="9241"/>
        </w:tabs>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_Toc19261 </w:instrText>
      </w:r>
      <w:r>
        <w:rPr>
          <w:rFonts w:hint="eastAsia" w:ascii="宋体" w:hAnsi="宋体" w:eastAsia="宋体" w:cs="宋体"/>
          <w:bCs w:val="0"/>
          <w:highlight w:val="none"/>
          <w:lang w:val="en-US" w:eastAsia="zh-CN"/>
        </w:rPr>
        <w:fldChar w:fldCharType="separate"/>
      </w:r>
      <w:r>
        <w:rPr>
          <w:rFonts w:hint="eastAsia" w:ascii="宋体" w:hAnsi="宋体" w:eastAsia="宋体" w:cs="宋体"/>
          <w:highlight w:val="none"/>
        </w:rPr>
        <w:t>附　录　</w:t>
      </w:r>
      <w:r>
        <w:rPr>
          <w:rFonts w:hint="eastAsia" w:ascii="宋体" w:hAnsi="宋体" w:eastAsia="宋体" w:cs="宋体"/>
          <w:bCs/>
          <w:highlight w:val="none"/>
        </w:rPr>
        <w:t>A</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_Toc19261 \h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0C084B97">
      <w:pPr>
        <w:pStyle w:val="23"/>
        <w:tabs>
          <w:tab w:val="right" w:leader="dot" w:pos="9354"/>
          <w:tab w:val="clear" w:pos="9241"/>
        </w:tabs>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_Toc8993 </w:instrText>
      </w:r>
      <w:r>
        <w:rPr>
          <w:rFonts w:hint="eastAsia" w:ascii="宋体" w:hAnsi="宋体" w:eastAsia="宋体" w:cs="宋体"/>
          <w:bCs w:val="0"/>
          <w:highlight w:val="none"/>
          <w:lang w:val="en-US" w:eastAsia="zh-CN"/>
        </w:rPr>
        <w:fldChar w:fldCharType="separate"/>
      </w:r>
      <w:r>
        <w:rPr>
          <w:rFonts w:hint="eastAsia" w:ascii="宋体" w:hAnsi="宋体" w:eastAsia="宋体" w:cs="宋体"/>
          <w:highlight w:val="none"/>
        </w:rPr>
        <w:t>附　录　</w:t>
      </w:r>
      <w:r>
        <w:rPr>
          <w:rFonts w:hint="eastAsia" w:ascii="宋体" w:hAnsi="宋体" w:eastAsia="宋体" w:cs="宋体"/>
          <w:highlight w:val="none"/>
          <w:lang w:val="en-US" w:eastAsia="zh-CN"/>
        </w:rPr>
        <w:t>B</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_Toc8993 \h </w:instrText>
      </w:r>
      <w:r>
        <w:rPr>
          <w:rFonts w:hint="eastAsia" w:ascii="宋体" w:hAnsi="宋体" w:eastAsia="宋体" w:cs="宋体"/>
        </w:rPr>
        <w:fldChar w:fldCharType="separate"/>
      </w:r>
      <w:r>
        <w:rPr>
          <w:rFonts w:hint="eastAsia" w:ascii="宋体" w:hAnsi="宋体" w:eastAsia="宋体" w:cs="宋体"/>
        </w:rPr>
        <w:t>13</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6C874C3F">
      <w:pPr>
        <w:pStyle w:val="23"/>
        <w:tabs>
          <w:tab w:val="right" w:leader="dot" w:pos="9354"/>
          <w:tab w:val="clear" w:pos="9241"/>
        </w:tabs>
        <w:rPr>
          <w:rFonts w:hint="eastAsia" w:ascii="宋体" w:hAnsi="宋体" w:eastAsia="宋体" w:cs="宋体"/>
        </w:rPr>
      </w:pPr>
      <w:r>
        <w:rPr>
          <w:rFonts w:hint="eastAsia" w:ascii="宋体" w:hAnsi="宋体" w:eastAsia="宋体" w:cs="宋体"/>
          <w:bCs w:val="0"/>
          <w:highlight w:val="none"/>
          <w:lang w:val="en-US" w:eastAsia="zh-CN"/>
        </w:rPr>
        <w:fldChar w:fldCharType="begin"/>
      </w:r>
      <w:r>
        <w:rPr>
          <w:rFonts w:hint="eastAsia" w:ascii="宋体" w:hAnsi="宋体" w:eastAsia="宋体" w:cs="宋体"/>
          <w:bCs w:val="0"/>
          <w:highlight w:val="none"/>
          <w:lang w:val="en-US" w:eastAsia="zh-CN"/>
        </w:rPr>
        <w:instrText xml:space="preserve"> HYPERLINK \l _Toc3711 </w:instrText>
      </w:r>
      <w:r>
        <w:rPr>
          <w:rFonts w:hint="eastAsia" w:ascii="宋体" w:hAnsi="宋体" w:eastAsia="宋体" w:cs="宋体"/>
          <w:bCs w:val="0"/>
          <w:highlight w:val="none"/>
          <w:lang w:val="en-US" w:eastAsia="zh-CN"/>
        </w:rPr>
        <w:fldChar w:fldCharType="separate"/>
      </w:r>
      <w:r>
        <w:rPr>
          <w:rFonts w:hint="eastAsia" w:ascii="宋体" w:hAnsi="宋体" w:eastAsia="宋体" w:cs="宋体"/>
          <w:highlight w:val="none"/>
        </w:rPr>
        <w:t>附　录　</w:t>
      </w:r>
      <w:r>
        <w:rPr>
          <w:rFonts w:hint="eastAsia" w:ascii="宋体" w:hAnsi="宋体" w:eastAsia="宋体" w:cs="宋体"/>
          <w:highlight w:val="none"/>
          <w:lang w:val="en-US" w:eastAsia="zh-CN"/>
        </w:rPr>
        <w:t>C</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_Toc3711 \h </w:instrText>
      </w:r>
      <w:r>
        <w:rPr>
          <w:rFonts w:hint="eastAsia" w:ascii="宋体" w:hAnsi="宋体" w:eastAsia="宋体" w:cs="宋体"/>
        </w:rPr>
        <w:fldChar w:fldCharType="separate"/>
      </w:r>
      <w:r>
        <w:rPr>
          <w:rFonts w:hint="eastAsia" w:ascii="宋体" w:hAnsi="宋体" w:eastAsia="宋体" w:cs="宋体"/>
        </w:rPr>
        <w:t>14</w:t>
      </w:r>
      <w:r>
        <w:rPr>
          <w:rFonts w:hint="eastAsia" w:ascii="宋体" w:hAnsi="宋体" w:eastAsia="宋体" w:cs="宋体"/>
        </w:rPr>
        <w:fldChar w:fldCharType="end"/>
      </w:r>
      <w:r>
        <w:rPr>
          <w:rFonts w:hint="eastAsia" w:ascii="宋体" w:hAnsi="宋体" w:eastAsia="宋体" w:cs="宋体"/>
          <w:bCs w:val="0"/>
          <w:highlight w:val="none"/>
          <w:lang w:val="en-US" w:eastAsia="zh-CN"/>
        </w:rPr>
        <w:fldChar w:fldCharType="end"/>
      </w:r>
    </w:p>
    <w:p w14:paraId="2BB942CF">
      <w:pPr>
        <w:pStyle w:val="32"/>
        <w:tabs>
          <w:tab w:val="right" w:leader="dot" w:pos="9354"/>
          <w:tab w:val="clear" w:pos="9241"/>
        </w:tabs>
      </w:pPr>
    </w:p>
    <w:p w14:paraId="6BDCAC11">
      <w:pPr>
        <w:pStyle w:val="32"/>
        <w:tabs>
          <w:tab w:val="right" w:leader="dot" w:pos="9354"/>
          <w:tab w:val="clear" w:pos="9241"/>
        </w:tabs>
        <w:rPr>
          <w:highlight w:val="none"/>
        </w:rPr>
      </w:pPr>
      <w:r>
        <w:rPr>
          <w:rFonts w:hint="eastAsia" w:ascii="宋体" w:hAnsi="宋体" w:eastAsia="宋体" w:cs="宋体"/>
          <w:bCs w:val="0"/>
          <w:highlight w:val="none"/>
          <w:lang w:val="en-US" w:eastAsia="zh-CN"/>
        </w:rPr>
        <w:fldChar w:fldCharType="end"/>
      </w:r>
    </w:p>
    <w:p w14:paraId="407DDCF9">
      <w:pPr>
        <w:pStyle w:val="84"/>
        <w:tabs>
          <w:tab w:val="center" w:pos="4677"/>
          <w:tab w:val="right" w:pos="9354"/>
        </w:tabs>
        <w:spacing w:before="720" w:line="460" w:lineRule="exact"/>
        <w:jc w:val="left"/>
        <w:rPr>
          <w:highlight w:val="none"/>
        </w:rPr>
      </w:pPr>
      <w:bookmarkStart w:id="21" w:name="_Toc1718"/>
      <w:r>
        <w:rPr>
          <w:highlight w:val="none"/>
        </w:rPr>
        <w:tab/>
      </w:r>
      <w:bookmarkStart w:id="22" w:name="_Toc5785"/>
      <w:bookmarkStart w:id="23" w:name="_Toc28241"/>
      <w:bookmarkStart w:id="24" w:name="_Toc16113"/>
      <w:bookmarkStart w:id="25" w:name="_Toc25293"/>
      <w:bookmarkStart w:id="26" w:name="_Toc12259"/>
      <w:r>
        <w:rPr>
          <w:rFonts w:hint="eastAsia"/>
          <w:highlight w:val="none"/>
        </w:rPr>
        <w:t>前</w:t>
      </w:r>
      <w:bookmarkStart w:id="27" w:name="BKQY"/>
      <w:r>
        <w:rPr>
          <w:rFonts w:hint="eastAsia"/>
          <w:highlight w:val="none"/>
        </w:rPr>
        <w:t>　言</w:t>
      </w:r>
      <w:bookmarkEnd w:id="2"/>
      <w:bookmarkEnd w:id="3"/>
      <w:bookmarkEnd w:id="21"/>
      <w:bookmarkEnd w:id="22"/>
      <w:bookmarkEnd w:id="23"/>
      <w:bookmarkEnd w:id="24"/>
      <w:bookmarkEnd w:id="25"/>
      <w:bookmarkEnd w:id="26"/>
      <w:bookmarkEnd w:id="27"/>
      <w:r>
        <w:rPr>
          <w:highlight w:val="none"/>
        </w:rPr>
        <w:tab/>
      </w:r>
    </w:p>
    <w:p w14:paraId="4D4FEB7E">
      <w:pPr>
        <w:pStyle w:val="27"/>
        <w:rPr>
          <w:rFonts w:hint="default" w:eastAsia="宋体"/>
          <w:highlight w:val="none"/>
          <w:lang w:val="en-US" w:eastAsia="zh-CN"/>
        </w:rPr>
      </w:pPr>
      <w:r>
        <w:rPr>
          <w:rFonts w:hint="eastAsia" w:ascii="黑体" w:hAnsi="黑体" w:eastAsia="黑体" w:cs="黑体"/>
          <w:b w:val="0"/>
          <w:bCs w:val="0"/>
          <w:highlight w:val="none"/>
          <w:lang w:val="en-US" w:eastAsia="zh-CN"/>
        </w:rPr>
        <w:t>本文件的全部技术内容为强制性。</w:t>
      </w:r>
    </w:p>
    <w:p w14:paraId="37117FD6">
      <w:pPr>
        <w:pStyle w:val="27"/>
        <w:rPr>
          <w:rFonts w:hint="default" w:eastAsia="宋体"/>
          <w:highlight w:val="none"/>
          <w:lang w:val="en-US" w:eastAsia="zh-CN"/>
        </w:rPr>
      </w:pPr>
      <w:r>
        <w:rPr>
          <w:rFonts w:hint="default" w:eastAsia="宋体"/>
          <w:highlight w:val="none"/>
          <w:lang w:val="en-US" w:eastAsia="zh-CN"/>
        </w:rPr>
        <w:t>本文件按照GB/T</w:t>
      </w:r>
      <w:r>
        <w:rPr>
          <w:rFonts w:hint="eastAsia"/>
          <w:highlight w:val="none"/>
          <w:lang w:val="en-US" w:eastAsia="zh-CN"/>
        </w:rPr>
        <w:t xml:space="preserve"> </w:t>
      </w:r>
      <w:r>
        <w:rPr>
          <w:rFonts w:hint="default" w:eastAsia="宋体"/>
          <w:highlight w:val="none"/>
          <w:lang w:val="en-US" w:eastAsia="zh-CN"/>
        </w:rPr>
        <w:t>1.1—2020《标准化工作导则</w:t>
      </w:r>
      <w:r>
        <w:rPr>
          <w:rFonts w:hint="eastAsia"/>
          <w:highlight w:val="none"/>
          <w:lang w:val="en-US" w:eastAsia="zh-CN"/>
        </w:rPr>
        <w:t xml:space="preserve">  </w:t>
      </w:r>
      <w:r>
        <w:rPr>
          <w:rFonts w:hint="default" w:eastAsia="宋体"/>
          <w:highlight w:val="none"/>
          <w:lang w:val="en-US" w:eastAsia="zh-CN"/>
        </w:rPr>
        <w:t>第1部分：标准化文件的结构和起草规则》的规定起草。</w:t>
      </w:r>
    </w:p>
    <w:p w14:paraId="5C80B1BD">
      <w:pPr>
        <w:pStyle w:val="27"/>
        <w:rPr>
          <w:rFonts w:hint="default" w:eastAsia="宋体"/>
          <w:highlight w:val="none"/>
          <w:lang w:val="en-US" w:eastAsia="zh-CN"/>
        </w:rPr>
      </w:pPr>
      <w:r>
        <w:rPr>
          <w:rFonts w:hint="default" w:eastAsia="宋体"/>
          <w:highlight w:val="none"/>
          <w:lang w:val="en-US" w:eastAsia="zh-CN"/>
        </w:rPr>
        <w:t>请注意本文件的某些内容可能涉及专利。本文件的发布机构不承担识别这些专利的责任。</w:t>
      </w:r>
    </w:p>
    <w:p w14:paraId="00609DA0">
      <w:pPr>
        <w:pStyle w:val="27"/>
        <w:rPr>
          <w:rFonts w:hint="default" w:eastAsia="宋体"/>
          <w:highlight w:val="none"/>
          <w:lang w:val="en-US" w:eastAsia="zh-CN"/>
        </w:rPr>
      </w:pPr>
      <w:r>
        <w:rPr>
          <w:rFonts w:hint="default" w:eastAsia="宋体"/>
          <w:highlight w:val="none"/>
          <w:lang w:val="en-US" w:eastAsia="zh-CN"/>
        </w:rPr>
        <w:t>本文件由中华人民共和国应急管理部提出</w:t>
      </w:r>
      <w:r>
        <w:rPr>
          <w:rFonts w:hint="eastAsia"/>
          <w:highlight w:val="none"/>
          <w:lang w:val="en-US" w:eastAsia="zh-CN"/>
        </w:rPr>
        <w:t>，</w:t>
      </w:r>
      <w:r>
        <w:rPr>
          <w:rFonts w:hint="default" w:eastAsia="宋体"/>
          <w:highlight w:val="none"/>
          <w:lang w:val="en-US" w:eastAsia="zh-CN"/>
        </w:rPr>
        <w:t>危险化学品安全监督管理二司业务管理、政策法规司统筹管理。</w:t>
      </w:r>
    </w:p>
    <w:p w14:paraId="3562BBE7">
      <w:pPr>
        <w:pStyle w:val="27"/>
        <w:rPr>
          <w:rFonts w:hint="default" w:eastAsia="宋体"/>
          <w:highlight w:val="none"/>
          <w:lang w:val="en-US" w:eastAsia="zh-CN"/>
        </w:rPr>
      </w:pPr>
      <w:r>
        <w:rPr>
          <w:rFonts w:hint="default" w:eastAsia="宋体"/>
          <w:highlight w:val="none"/>
          <w:lang w:val="en-US" w:eastAsia="zh-CN"/>
        </w:rPr>
        <w:t>本文件由全国安全生产标准化技术委员会石油天然气开采安全分技术委员会</w:t>
      </w:r>
      <w:r>
        <w:rPr>
          <w:rFonts w:hint="eastAsia"/>
          <w:highlight w:val="none"/>
          <w:lang w:val="en-US" w:eastAsia="zh-CN"/>
        </w:rPr>
        <w:t>（</w:t>
      </w:r>
      <w:r>
        <w:rPr>
          <w:rFonts w:hint="default" w:eastAsia="宋体"/>
          <w:highlight w:val="none"/>
          <w:lang w:val="en-US" w:eastAsia="zh-CN"/>
        </w:rPr>
        <w:t>SAC/TC</w:t>
      </w:r>
      <w:r>
        <w:rPr>
          <w:rFonts w:hint="eastAsia"/>
          <w:highlight w:val="none"/>
          <w:lang w:val="en-US" w:eastAsia="zh-CN"/>
        </w:rPr>
        <w:t xml:space="preserve"> </w:t>
      </w:r>
      <w:r>
        <w:rPr>
          <w:rFonts w:hint="default" w:eastAsia="宋体"/>
          <w:highlight w:val="none"/>
          <w:lang w:val="en-US" w:eastAsia="zh-CN"/>
        </w:rPr>
        <w:t>288/SC</w:t>
      </w:r>
      <w:r>
        <w:rPr>
          <w:rFonts w:hint="eastAsia"/>
          <w:highlight w:val="none"/>
          <w:lang w:val="en-US" w:eastAsia="zh-CN"/>
        </w:rPr>
        <w:t xml:space="preserve"> </w:t>
      </w:r>
      <w:r>
        <w:rPr>
          <w:rFonts w:hint="default" w:eastAsia="宋体"/>
          <w:highlight w:val="none"/>
          <w:lang w:val="en-US" w:eastAsia="zh-CN"/>
        </w:rPr>
        <w:t>10</w:t>
      </w:r>
      <w:r>
        <w:rPr>
          <w:rFonts w:hint="eastAsia"/>
          <w:highlight w:val="none"/>
          <w:lang w:val="en-US" w:eastAsia="zh-CN"/>
        </w:rPr>
        <w:t>）</w:t>
      </w:r>
      <w:r>
        <w:rPr>
          <w:rFonts w:hint="default" w:eastAsia="宋体"/>
          <w:highlight w:val="none"/>
          <w:lang w:val="en-US" w:eastAsia="zh-CN"/>
        </w:rPr>
        <w:t>技术归口及咨询。</w:t>
      </w:r>
    </w:p>
    <w:p w14:paraId="0B5A4823">
      <w:pPr>
        <w:pStyle w:val="27"/>
        <w:rPr>
          <w:rFonts w:hint="default" w:eastAsia="宋体"/>
          <w:highlight w:val="none"/>
          <w:lang w:val="en-US" w:eastAsia="zh-CN"/>
        </w:rPr>
      </w:pPr>
      <w:r>
        <w:rPr>
          <w:rFonts w:hint="default" w:eastAsia="宋体"/>
          <w:highlight w:val="none"/>
          <w:lang w:val="en-US" w:eastAsia="zh-CN"/>
        </w:rPr>
        <w:t>本文件起草单位：XXX</w:t>
      </w:r>
    </w:p>
    <w:p w14:paraId="6689AD4D">
      <w:pPr>
        <w:pStyle w:val="27"/>
        <w:rPr>
          <w:rFonts w:hint="default" w:eastAsia="宋体"/>
          <w:highlight w:val="none"/>
          <w:lang w:val="en-US" w:eastAsia="zh-CN"/>
        </w:rPr>
      </w:pPr>
      <w:r>
        <w:rPr>
          <w:rFonts w:hint="default" w:eastAsia="宋体"/>
          <w:highlight w:val="none"/>
          <w:lang w:val="en-US" w:eastAsia="zh-CN"/>
        </w:rPr>
        <w:t>本文件主要起草人：XXX</w:t>
      </w:r>
    </w:p>
    <w:p w14:paraId="44371EB3">
      <w:pPr>
        <w:pStyle w:val="27"/>
        <w:rPr>
          <w:rFonts w:hint="default" w:eastAsia="宋体"/>
          <w:highlight w:val="none"/>
          <w:lang w:val="en-US" w:eastAsia="zh-CN"/>
        </w:rPr>
      </w:pPr>
      <w:r>
        <w:rPr>
          <w:rFonts w:hint="default" w:eastAsia="宋体"/>
          <w:highlight w:val="none"/>
          <w:lang w:val="en-US" w:eastAsia="zh-CN"/>
        </w:rPr>
        <w:t>本文件为首次发布。</w:t>
      </w:r>
    </w:p>
    <w:p w14:paraId="580F47D1">
      <w:pPr>
        <w:pStyle w:val="27"/>
        <w:rPr>
          <w:highlight w:val="none"/>
        </w:rPr>
        <w:sectPr>
          <w:headerReference r:id="rId7" w:type="default"/>
          <w:footerReference r:id="rId9" w:type="default"/>
          <w:headerReference r:id="rId8" w:type="even"/>
          <w:footerReference r:id="rId10" w:type="even"/>
          <w:pgSz w:w="11906" w:h="16838"/>
          <w:pgMar w:top="1417" w:right="1134" w:bottom="1134" w:left="1418" w:header="1361" w:footer="1134" w:gutter="0"/>
          <w:pgNumType w:fmt="upperRoman" w:start="1"/>
          <w:cols w:space="0" w:num="1"/>
          <w:formProt w:val="0"/>
          <w:docGrid w:type="lines" w:linePitch="312" w:charSpace="0"/>
        </w:sectPr>
      </w:pPr>
    </w:p>
    <w:p w14:paraId="3E7AFBAF">
      <w:pPr>
        <w:spacing w:before="540" w:after="580" w:line="460" w:lineRule="exact"/>
        <w:jc w:val="center"/>
        <w:rPr>
          <w:rFonts w:ascii="黑体" w:hAnsi="黑体" w:eastAsia="黑体" w:cs="黑体"/>
          <w:sz w:val="32"/>
          <w:szCs w:val="32"/>
          <w:highlight w:val="none"/>
        </w:rPr>
      </w:pPr>
      <w:bookmarkStart w:id="28" w:name="_Toc31900"/>
      <w:bookmarkStart w:id="29" w:name="_Toc11557"/>
      <w:bookmarkStart w:id="30" w:name="_Toc31936"/>
      <w:bookmarkStart w:id="31" w:name="_Toc21063"/>
      <w:r>
        <w:rPr>
          <w:sz w:val="32"/>
          <w:highlight w:val="none"/>
        </w:rPr>
        <mc:AlternateContent>
          <mc:Choice Requires="wps">
            <w:drawing>
              <wp:anchor distT="0" distB="0" distL="114300" distR="114300" simplePos="0" relativeHeight="251705344" behindDoc="0" locked="0" layoutInCell="1" hidden="1" allowOverlap="1">
                <wp:simplePos x="0" y="0"/>
                <wp:positionH relativeFrom="column">
                  <wp:posOffset>905510</wp:posOffset>
                </wp:positionH>
                <wp:positionV relativeFrom="paragraph">
                  <wp:posOffset>402590</wp:posOffset>
                </wp:positionV>
                <wp:extent cx="4269105" cy="0"/>
                <wp:effectExtent l="0" t="0" r="0" b="0"/>
                <wp:wrapNone/>
                <wp:docPr id="71" name="直接连接符 71" hidden="1"/>
                <wp:cNvGraphicFramePr/>
                <a:graphic xmlns:a="http://schemas.openxmlformats.org/drawingml/2006/main">
                  <a:graphicData uri="http://schemas.microsoft.com/office/word/2010/wordprocessingShape">
                    <wps:wsp>
                      <wps:cNvCnPr/>
                      <wps:spPr>
                        <a:xfrm>
                          <a:off x="1793240" y="1535430"/>
                          <a:ext cx="426910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71.3pt;margin-top:31.7pt;height:0pt;width:336.15pt;visibility:hidden;z-index:251705344;mso-width-relative:page;mso-height-relative:page;" filled="f" stroked="t" coordsize="21600,21600" o:gfxdata="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OeqcK1gAAAAkBAAAPAAAAAAAAAAEAIAAAACIAAABkcnMvZG93bnJldi54&#10;bWxQSwECFAAUAAAACACHTuJArSwTBPwBAADKAwAADgAAAAAAAAABACAAAAAlAQAAZHJzL2Uyb0Rv&#10;Yy54bWxQSwUGAAAAAAYABgBZAQAAkwUAAAAA&#10;">
                <v:fill on="f" focussize="0,0"/>
                <v:stroke weight="0.5pt" color="#ED7D31 [3205]" miterlimit="8" joinstyle="miter"/>
                <v:imagedata o:title=""/>
                <o:lock v:ext="edit" aspectratio="f"/>
              </v:line>
            </w:pict>
          </mc:Fallback>
        </mc:AlternateContent>
      </w:r>
      <w:r>
        <w:rPr>
          <w:sz w:val="32"/>
          <w:highlight w:val="none"/>
        </w:rPr>
        <mc:AlternateContent>
          <mc:Choice Requires="wps">
            <w:drawing>
              <wp:anchor distT="0" distB="0" distL="114300" distR="114300" simplePos="0" relativeHeight="251707392" behindDoc="0" locked="0" layoutInCell="1" hidden="1" allowOverlap="1">
                <wp:simplePos x="0" y="0"/>
                <wp:positionH relativeFrom="column">
                  <wp:posOffset>4996180</wp:posOffset>
                </wp:positionH>
                <wp:positionV relativeFrom="paragraph">
                  <wp:posOffset>-140970</wp:posOffset>
                </wp:positionV>
                <wp:extent cx="0" cy="539750"/>
                <wp:effectExtent l="4445" t="0" r="14605" b="12700"/>
                <wp:wrapNone/>
                <wp:docPr id="73" name="直接连接符 73" hidden="1"/>
                <wp:cNvGraphicFramePr/>
                <a:graphic xmlns:a="http://schemas.openxmlformats.org/drawingml/2006/main">
                  <a:graphicData uri="http://schemas.microsoft.com/office/word/2010/wordprocessingShape">
                    <wps:wsp>
                      <wps:cNvCnPr/>
                      <wps:spPr>
                        <a:xfrm>
                          <a:off x="5810885" y="1050290"/>
                          <a:ext cx="0" cy="53975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393.4pt;margin-top:-11.1pt;height:42.5pt;width:0pt;visibility:hidden;z-index:251707392;mso-width-relative:page;mso-height-relative:page;" filled="f" stroked="t" coordsize="21600,21600" o:gfxdata="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Vf+me2AAAAAoBAAAPAAAAAAAAAAEAIAAAACIAAABkcnMvZG93bnJl&#10;di54bWxQSwECFAAUAAAACACHTuJAJ5cZlP0BAADJAwAADgAAAAAAAAABACAAAAAnAQAAZHJzL2Uy&#10;b0RvYy54bWxQSwUGAAAAAAYABgBZAQAAlgUAAAAA&#10;">
                <v:fill on="f" focussize="0,0"/>
                <v:stroke weight="0.5pt" color="#ED7D31 [3205]" miterlimit="8" joinstyle="miter"/>
                <v:imagedata o:title=""/>
                <o:lock v:ext="edit" aspectratio="f"/>
              </v:line>
            </w:pict>
          </mc:Fallback>
        </mc:AlternateContent>
      </w:r>
      <w:r>
        <w:rPr>
          <w:sz w:val="32"/>
          <w:highlight w:val="none"/>
        </w:rPr>
        <mc:AlternateContent>
          <mc:Choice Requires="wps">
            <w:drawing>
              <wp:anchor distT="0" distB="0" distL="114300" distR="114300" simplePos="0" relativeHeight="251703296" behindDoc="0" locked="0" layoutInCell="1" hidden="1" allowOverlap="1">
                <wp:simplePos x="0" y="0"/>
                <wp:positionH relativeFrom="column">
                  <wp:posOffset>4846320</wp:posOffset>
                </wp:positionH>
                <wp:positionV relativeFrom="paragraph">
                  <wp:posOffset>-145415</wp:posOffset>
                </wp:positionV>
                <wp:extent cx="1359535" cy="0"/>
                <wp:effectExtent l="0" t="0" r="0" b="0"/>
                <wp:wrapNone/>
                <wp:docPr id="69" name="直接连接符 69" hidden="1"/>
                <wp:cNvGraphicFramePr/>
                <a:graphic xmlns:a="http://schemas.openxmlformats.org/drawingml/2006/main">
                  <a:graphicData uri="http://schemas.microsoft.com/office/word/2010/wordprocessingShape">
                    <wps:wsp>
                      <wps:cNvCnPr/>
                      <wps:spPr>
                        <a:xfrm>
                          <a:off x="5732780" y="1033145"/>
                          <a:ext cx="135953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381.6pt;margin-top:-11.45pt;height:0pt;width:107.05pt;visibility:hidden;z-index:251703296;mso-width-relative:page;mso-height-relative:page;" filled="f" stroked="t" coordsize="21600,21600" o:gfxdata="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jqFuO2QAAAAsBAAAPAAAAAAAAAAEAIAAAACIAAABkcnMvZG93&#10;bnJldi54bWxQSwECFAAUAAAACACHTuJAyYNcdf8BAADKAwAADgAAAAAAAAABACAAAAAoAQAAZHJz&#10;L2Uyb0RvYy54bWxQSwUGAAAAAAYABgBZAQAAmQUAAAAA&#10;">
                <v:fill on="f" focussize="0,0"/>
                <v:stroke weight="0.5pt" color="#ED7D31 [3205]" miterlimit="8" joinstyle="miter"/>
                <v:imagedata o:title=""/>
                <o:lock v:ext="edit" aspectratio="f"/>
              </v:line>
            </w:pict>
          </mc:Fallback>
        </mc:AlternateContent>
      </w:r>
      <w:r>
        <w:rPr>
          <w:sz w:val="32"/>
          <w:highlight w:val="none"/>
        </w:rPr>
        <mc:AlternateContent>
          <mc:Choice Requires="wps">
            <w:drawing>
              <wp:anchor distT="0" distB="0" distL="114300" distR="114300" simplePos="0" relativeHeight="251709440" behindDoc="0" locked="0" layoutInCell="1" hidden="1" allowOverlap="1">
                <wp:simplePos x="0" y="0"/>
                <wp:positionH relativeFrom="column">
                  <wp:posOffset>4853305</wp:posOffset>
                </wp:positionH>
                <wp:positionV relativeFrom="paragraph">
                  <wp:posOffset>-273050</wp:posOffset>
                </wp:positionV>
                <wp:extent cx="1359535" cy="0"/>
                <wp:effectExtent l="0" t="0" r="0" b="0"/>
                <wp:wrapNone/>
                <wp:docPr id="76" name="直接连接符 76" hidden="1"/>
                <wp:cNvGraphicFramePr/>
                <a:graphic xmlns:a="http://schemas.openxmlformats.org/drawingml/2006/main">
                  <a:graphicData uri="http://schemas.microsoft.com/office/word/2010/wordprocessingShape">
                    <wps:wsp>
                      <wps:cNvCnPr/>
                      <wps:spPr>
                        <a:xfrm>
                          <a:off x="0" y="0"/>
                          <a:ext cx="135953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382.15pt;margin-top:-21.5pt;height:0pt;width:107.05pt;visibility:hidden;z-index:251709440;mso-width-relative:page;mso-height-relative:page;" filled="f" stroked="t" coordsize="21600,21600" o:gfxdata="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v4b+M2QAAAAsBAAAPAAAAAAAAAAEAIAAAACIAAABkcnMvZG93bnJldi54bWxQSwECFAAU&#10;AAAACACHTuJALmho0fABAAC+AwAADgAAAAAAAAABACAAAAAoAQAAZHJzL2Uyb0RvYy54bWxQSwUG&#10;AAAAAAYABgBZAQAAigUAAAAA&#10;">
                <v:fill on="f" focussize="0,0"/>
                <v:stroke weight="0.5pt" color="#ED7D31 [3205]" miterlimit="8" joinstyle="miter"/>
                <v:imagedata o:title=""/>
                <o:lock v:ext="edit" aspectratio="f"/>
              </v:line>
            </w:pict>
          </mc:Fallback>
        </mc:AlternateContent>
      </w:r>
      <w:r>
        <w:rPr>
          <w:sz w:val="32"/>
          <w:highlight w:val="none"/>
        </w:rPr>
        <mc:AlternateContent>
          <mc:Choice Requires="wps">
            <w:drawing>
              <wp:anchor distT="0" distB="0" distL="114300" distR="114300" simplePos="0" relativeHeight="251710464" behindDoc="0" locked="0" layoutInCell="1" hidden="1" allowOverlap="1">
                <wp:simplePos x="0" y="0"/>
                <wp:positionH relativeFrom="column">
                  <wp:posOffset>5081905</wp:posOffset>
                </wp:positionH>
                <wp:positionV relativeFrom="paragraph">
                  <wp:posOffset>-1177925</wp:posOffset>
                </wp:positionV>
                <wp:extent cx="0" cy="899795"/>
                <wp:effectExtent l="4445" t="0" r="14605" b="14605"/>
                <wp:wrapNone/>
                <wp:docPr id="77" name="直接连接符 77" hidden="1"/>
                <wp:cNvGraphicFramePr/>
                <a:graphic xmlns:a="http://schemas.openxmlformats.org/drawingml/2006/main">
                  <a:graphicData uri="http://schemas.microsoft.com/office/word/2010/wordprocessingShape">
                    <wps:wsp>
                      <wps:cNvCnPr/>
                      <wps:spPr>
                        <a:xfrm flipV="1">
                          <a:off x="5881370" y="-13970"/>
                          <a:ext cx="0" cy="89979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flip:y;margin-left:400.15pt;margin-top:-92.75pt;height:70.85pt;width:0pt;visibility:hidden;z-index:251710464;mso-width-relative:page;mso-height-relative:page;" filled="f" stroked="t" coordsize="21600,21600" o:gfxdata="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IfRhLDaAAAADAEAAA8AAAAAAAAAAQAgAAAAIgAAAGRycy9k&#10;b3ducmV2LnhtbFBLAQIUABQAAAAIAIdO4kAELHnBAAIAANIDAAAOAAAAAAAAAAEAIAAAACkBAABk&#10;cnMvZTJvRG9jLnhtbFBLBQYAAAAABgAGAFkBAACbBQAAAAA=&#10;">
                <v:fill on="f" focussize="0,0"/>
                <v:stroke weight="0.5pt" color="#ED7D31 [3205]" miterlimit="8" joinstyle="miter"/>
                <v:imagedata o:title=""/>
                <o:lock v:ext="edit" aspectratio="f"/>
              </v:line>
            </w:pict>
          </mc:Fallback>
        </mc:AlternateContent>
      </w:r>
      <w:r>
        <w:rPr>
          <w:sz w:val="32"/>
          <w:highlight w:val="none"/>
        </w:rPr>
        <mc:AlternateContent>
          <mc:Choice Requires="wps">
            <w:drawing>
              <wp:anchor distT="0" distB="0" distL="114300" distR="114300" simplePos="0" relativeHeight="251706368" behindDoc="0" locked="0" layoutInCell="1" hidden="1" allowOverlap="1">
                <wp:simplePos x="0" y="0"/>
                <wp:positionH relativeFrom="column">
                  <wp:posOffset>957580</wp:posOffset>
                </wp:positionH>
                <wp:positionV relativeFrom="paragraph">
                  <wp:posOffset>596265</wp:posOffset>
                </wp:positionV>
                <wp:extent cx="4269105" cy="0"/>
                <wp:effectExtent l="0" t="0" r="0" b="0"/>
                <wp:wrapNone/>
                <wp:docPr id="72" name="直接连接符 72" hidden="1"/>
                <wp:cNvGraphicFramePr/>
                <a:graphic xmlns:a="http://schemas.openxmlformats.org/drawingml/2006/main">
                  <a:graphicData uri="http://schemas.microsoft.com/office/word/2010/wordprocessingShape">
                    <wps:wsp>
                      <wps:cNvCnPr/>
                      <wps:spPr>
                        <a:xfrm>
                          <a:off x="0" y="0"/>
                          <a:ext cx="426910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75.4pt;margin-top:46.95pt;height:0pt;width:336.15pt;visibility:hidden;z-index:251706368;mso-width-relative:page;mso-height-relative:page;" filled="f" stroked="t" coordsize="21600,21600" o:gfxdata="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K4j3+9cAAAAJAQAADwAAAAAAAAABACAAAAAiAAAAZHJzL2Rvd25yZXYueG1sUEsBAhQAFAAA&#10;AAgAh07iQAsZmJTwAQAAvgMAAA4AAAAAAAAAAQAgAAAAJgEAAGRycy9lMm9Eb2MueG1sUEsFBgAA&#10;AAAGAAYAWQEAAIgFAAAAAA==&#10;">
                <v:fill on="f" focussize="0,0"/>
                <v:stroke weight="0.5pt" color="#ED7D31 [3205]" miterlimit="8" joinstyle="miter"/>
                <v:imagedata o:title=""/>
                <o:lock v:ext="edit" aspectratio="f"/>
              </v:line>
            </w:pict>
          </mc:Fallback>
        </mc:AlternateContent>
      </w:r>
      <w:r>
        <w:rPr>
          <w:sz w:val="32"/>
          <w:highlight w:val="none"/>
        </w:rPr>
        <mc:AlternateContent>
          <mc:Choice Requires="wps">
            <w:drawing>
              <wp:anchor distT="0" distB="0" distL="114300" distR="114300" simplePos="0" relativeHeight="251708416" behindDoc="0" locked="0" layoutInCell="1" hidden="1" allowOverlap="1">
                <wp:simplePos x="0" y="0"/>
                <wp:positionH relativeFrom="column">
                  <wp:posOffset>1022985</wp:posOffset>
                </wp:positionH>
                <wp:positionV relativeFrom="paragraph">
                  <wp:posOffset>593090</wp:posOffset>
                </wp:positionV>
                <wp:extent cx="0" cy="431800"/>
                <wp:effectExtent l="5080" t="0" r="13970" b="6350"/>
                <wp:wrapNone/>
                <wp:docPr id="75" name="直接连接符 75" hidden="1"/>
                <wp:cNvGraphicFramePr/>
                <a:graphic xmlns:a="http://schemas.openxmlformats.org/drawingml/2006/main">
                  <a:graphicData uri="http://schemas.microsoft.com/office/word/2010/wordprocessingShape">
                    <wps:wsp>
                      <wps:cNvCnPr/>
                      <wps:spPr>
                        <a:xfrm>
                          <a:off x="1922780" y="1751330"/>
                          <a:ext cx="0" cy="43180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80.55pt;margin-top:46.7pt;height:34pt;width:0pt;visibility:hidden;z-index:251708416;mso-width-relative:page;mso-height-relative:page;" filled="f" stroked="t" coordsize="21600,21600" o:gfxdata="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wWo89YAAAAKAQAADwAAAAAAAAABACAAAAAiAAAAZHJzL2Rvd25yZXYueG1s&#10;UEsBAhQAFAAAAAgAh07iQFBvlWz6AQAAyQMAAA4AAAAAAAAAAQAgAAAAJQEAAGRycy9lMm9Eb2Mu&#10;eG1sUEsFBgAAAAAGAAYAWQEAAJEFAAAAAA==&#10;">
                <v:fill on="f" focussize="0,0"/>
                <v:stroke weight="0.5pt" color="#ED7D31 [3205]" miterlimit="8" joinstyle="miter"/>
                <v:imagedata o:title=""/>
                <o:lock v:ext="edit" aspectratio="f"/>
              </v:line>
            </w:pict>
          </mc:Fallback>
        </mc:AlternateContent>
      </w:r>
      <w:r>
        <w:rPr>
          <w:rFonts w:hint="eastAsia" w:ascii="黑体" w:hAnsi="黑体" w:eastAsia="黑体" w:cs="黑体"/>
          <w:sz w:val="32"/>
          <w:szCs w:val="32"/>
          <w:highlight w:val="none"/>
          <w:lang w:eastAsia="zh-CN"/>
        </w:rPr>
        <w:t>海洋石油天然气企业</w:t>
      </w:r>
      <w:r>
        <w:rPr>
          <w:rFonts w:hint="eastAsia" w:ascii="黑体" w:hAnsi="黑体" w:eastAsia="黑体" w:cs="黑体"/>
          <w:sz w:val="32"/>
          <w:szCs w:val="32"/>
          <w:highlight w:val="none"/>
          <w:lang w:val="en-US" w:eastAsia="zh-CN"/>
        </w:rPr>
        <w:t>安全现状</w:t>
      </w:r>
      <w:r>
        <w:rPr>
          <w:rFonts w:hint="eastAsia" w:ascii="黑体" w:hAnsi="黑体" w:eastAsia="黑体" w:cs="黑体"/>
          <w:sz w:val="32"/>
          <w:szCs w:val="32"/>
          <w:highlight w:val="none"/>
        </w:rPr>
        <w:t>评价导则</w:t>
      </w:r>
      <w:bookmarkEnd w:id="28"/>
      <w:bookmarkEnd w:id="29"/>
      <w:bookmarkEnd w:id="30"/>
      <w:bookmarkEnd w:id="31"/>
    </w:p>
    <w:p w14:paraId="0860C2AF">
      <w:pPr>
        <w:pStyle w:val="73"/>
        <w:outlineLvl w:val="0"/>
        <w:rPr>
          <w:highlight w:val="none"/>
        </w:rPr>
      </w:pPr>
      <w:bookmarkStart w:id="32" w:name="_Toc19421"/>
      <w:bookmarkStart w:id="33" w:name="_Toc14037"/>
      <w:bookmarkStart w:id="34" w:name="_Toc10527"/>
      <w:bookmarkStart w:id="35" w:name="_Toc10305"/>
      <w:bookmarkStart w:id="36" w:name="_Toc20515"/>
      <w:bookmarkStart w:id="37" w:name="_Toc27807"/>
      <w:r>
        <w:rPr>
          <w:highlight w:val="none"/>
        </w:rPr>
        <mc:AlternateContent>
          <mc:Choice Requires="wps">
            <w:drawing>
              <wp:anchor distT="0" distB="0" distL="114300" distR="114300" simplePos="0" relativeHeight="251704320" behindDoc="0" locked="0" layoutInCell="1" hidden="1" allowOverlap="1">
                <wp:simplePos x="0" y="0"/>
                <wp:positionH relativeFrom="column">
                  <wp:posOffset>-15875</wp:posOffset>
                </wp:positionH>
                <wp:positionV relativeFrom="paragraph">
                  <wp:posOffset>32385</wp:posOffset>
                </wp:positionV>
                <wp:extent cx="1184910" cy="0"/>
                <wp:effectExtent l="0" t="0" r="0" b="0"/>
                <wp:wrapNone/>
                <wp:docPr id="70" name="直接连接符 70" hidden="1"/>
                <wp:cNvGraphicFramePr/>
                <a:graphic xmlns:a="http://schemas.openxmlformats.org/drawingml/2006/main">
                  <a:graphicData uri="http://schemas.microsoft.com/office/word/2010/wordprocessingShape">
                    <wps:wsp>
                      <wps:cNvCnPr/>
                      <wps:spPr>
                        <a:xfrm>
                          <a:off x="883920" y="2150110"/>
                          <a:ext cx="118491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1.25pt;margin-top:2.55pt;height:0pt;width:93.3pt;visibility:hidden;z-index:251704320;mso-width-relative:page;mso-height-relative:page;" filled="f" stroked="t" coordsize="21600,21600" o:gfxdata="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FnwNk1AAAAAYBAAAPAAAAAAAAAAEAIAAAACIAAABkcnMvZG93bnJldi54bWxQ&#10;SwECFAAUAAAACACHTuJAcjLCI/sBAADJAwAADgAAAAAAAAABACAAAAAjAQAAZHJzL2Uyb0RvYy54&#10;bWxQSwUGAAAAAAYABgBZAQAAkAUAAAAA&#10;">
                <v:fill on="f" focussize="0,0"/>
                <v:stroke weight="0.5pt" color="#ED7D31 [3205]" miterlimit="8" joinstyle="miter"/>
                <v:imagedata o:title=""/>
                <o:lock v:ext="edit" aspectratio="f"/>
              </v:line>
            </w:pict>
          </mc:Fallback>
        </mc:AlternateContent>
      </w:r>
      <w:r>
        <w:rPr>
          <w:rFonts w:hint="eastAsia"/>
          <w:highlight w:val="none"/>
        </w:rPr>
        <w:t>范围</w:t>
      </w:r>
      <w:bookmarkEnd w:id="32"/>
      <w:bookmarkEnd w:id="33"/>
      <w:bookmarkEnd w:id="34"/>
      <w:bookmarkEnd w:id="35"/>
      <w:bookmarkEnd w:id="36"/>
      <w:bookmarkEnd w:id="37"/>
    </w:p>
    <w:p w14:paraId="196C8501">
      <w:pPr>
        <w:pStyle w:val="27"/>
        <w:rPr>
          <w:rFonts w:hint="eastAsia"/>
          <w:highlight w:val="none"/>
        </w:rPr>
      </w:pPr>
      <w:r>
        <w:rPr>
          <w:rFonts w:hint="eastAsia"/>
          <w:highlight w:val="none"/>
        </w:rPr>
        <w:t>本文件规定了</w:t>
      </w:r>
      <w:r>
        <w:rPr>
          <w:rFonts w:hint="eastAsia"/>
          <w:highlight w:val="none"/>
          <w:lang w:eastAsia="zh-CN"/>
        </w:rPr>
        <w:t>海洋石油天然气企业</w:t>
      </w:r>
      <w:r>
        <w:rPr>
          <w:rFonts w:hint="eastAsia"/>
          <w:highlight w:val="none"/>
        </w:rPr>
        <w:t>安全</w:t>
      </w:r>
      <w:r>
        <w:rPr>
          <w:rFonts w:hint="eastAsia"/>
          <w:highlight w:val="none"/>
          <w:lang w:val="en-US" w:eastAsia="zh-CN"/>
        </w:rPr>
        <w:t>现状评价</w:t>
      </w:r>
      <w:r>
        <w:rPr>
          <w:rFonts w:hint="eastAsia"/>
          <w:highlight w:val="none"/>
        </w:rPr>
        <w:t>内容和报告编制的要求。</w:t>
      </w:r>
    </w:p>
    <w:p w14:paraId="71EDC87E">
      <w:pPr>
        <w:pStyle w:val="27"/>
        <w:rPr>
          <w:rFonts w:hint="eastAsia" w:eastAsia="宋体"/>
          <w:highlight w:val="none"/>
          <w:lang w:eastAsia="zh-CN"/>
        </w:rPr>
      </w:pPr>
      <w:r>
        <w:rPr>
          <w:rFonts w:hint="eastAsia"/>
          <w:highlight w:val="none"/>
        </w:rPr>
        <w:t>本文件适用于</w:t>
      </w:r>
      <w:r>
        <w:rPr>
          <w:rFonts w:hint="eastAsia"/>
          <w:highlight w:val="none"/>
          <w:lang w:val="en-US" w:eastAsia="zh-CN"/>
        </w:rPr>
        <w:t>海上采油（气）</w:t>
      </w:r>
      <w:r>
        <w:rPr>
          <w:rFonts w:hint="eastAsia"/>
          <w:highlight w:val="none"/>
        </w:rPr>
        <w:t>、管道储运企业以及</w:t>
      </w:r>
      <w:r>
        <w:rPr>
          <w:rFonts w:hint="eastAsia"/>
          <w:highlight w:val="none"/>
          <w:lang w:val="en-US" w:eastAsia="zh-CN"/>
        </w:rPr>
        <w:t>物探</w:t>
      </w:r>
      <w:r>
        <w:rPr>
          <w:rFonts w:hint="eastAsia"/>
          <w:highlight w:val="none"/>
        </w:rPr>
        <w:t>、钻井、录井、测</w:t>
      </w:r>
      <w:r>
        <w:rPr>
          <w:rFonts w:hint="eastAsia"/>
          <w:highlight w:val="none"/>
          <w:lang w:val="en-US" w:eastAsia="zh-CN"/>
        </w:rPr>
        <w:t>井、</w:t>
      </w:r>
      <w:r>
        <w:rPr>
          <w:rFonts w:hint="eastAsia"/>
          <w:highlight w:val="none"/>
        </w:rPr>
        <w:t>井下作业、海油工程等企业的安全现状评价</w:t>
      </w:r>
      <w:r>
        <w:rPr>
          <w:rFonts w:hint="eastAsia"/>
          <w:highlight w:val="none"/>
          <w:lang w:eastAsia="zh-CN"/>
        </w:rPr>
        <w:t>。</w:t>
      </w:r>
    </w:p>
    <w:p w14:paraId="315CE3C1">
      <w:pPr>
        <w:pStyle w:val="73"/>
        <w:outlineLvl w:val="0"/>
        <w:rPr>
          <w:highlight w:val="none"/>
        </w:rPr>
      </w:pPr>
      <w:bookmarkStart w:id="38" w:name="_Toc11752"/>
      <w:bookmarkStart w:id="39" w:name="_Toc8415"/>
      <w:bookmarkStart w:id="40" w:name="_Toc20164"/>
      <w:bookmarkStart w:id="41" w:name="_Toc9737"/>
      <w:bookmarkStart w:id="42" w:name="_Toc9197"/>
      <w:bookmarkStart w:id="43" w:name="_Toc4479"/>
      <w:r>
        <w:rPr>
          <w:rFonts w:hint="eastAsia"/>
          <w:highlight w:val="none"/>
        </w:rPr>
        <w:t>规范性引用文件</w:t>
      </w:r>
      <w:bookmarkEnd w:id="38"/>
      <w:bookmarkEnd w:id="39"/>
      <w:bookmarkEnd w:id="40"/>
      <w:bookmarkEnd w:id="41"/>
      <w:bookmarkEnd w:id="42"/>
      <w:bookmarkEnd w:id="43"/>
    </w:p>
    <w:p w14:paraId="0687C5B3">
      <w:pPr>
        <w:pStyle w:val="27"/>
        <w:rPr>
          <w:rFonts w:hint="eastAsia" w:ascii="宋体" w:hAnsi="宋体" w:eastAsia="宋体" w:cs="宋体"/>
          <w:highlight w:val="none"/>
          <w:lang w:eastAsia="zh-CN"/>
        </w:rPr>
      </w:pPr>
      <w:r>
        <w:rPr>
          <w:rFonts w:hint="eastAsia"/>
          <w:highlight w:val="none"/>
          <w:lang w:val="en-US" w:eastAsia="zh-CN"/>
        </w:rPr>
        <w:t>本文件没有规范性引用文件</w:t>
      </w:r>
      <w:r>
        <w:rPr>
          <w:rFonts w:hint="eastAsia" w:hAnsi="宋体" w:cs="宋体"/>
          <w:highlight w:val="none"/>
          <w:lang w:eastAsia="zh-CN"/>
        </w:rPr>
        <w:t>。</w:t>
      </w:r>
    </w:p>
    <w:p w14:paraId="64A7EC5B">
      <w:pPr>
        <w:pStyle w:val="73"/>
        <w:outlineLvl w:val="0"/>
        <w:rPr>
          <w:highlight w:val="none"/>
        </w:rPr>
      </w:pPr>
      <w:bookmarkStart w:id="44" w:name="_Toc302728565"/>
      <w:bookmarkStart w:id="45" w:name="_Toc24560"/>
      <w:bookmarkStart w:id="46" w:name="_Toc301348838"/>
      <w:bookmarkStart w:id="47" w:name="_Toc10684"/>
      <w:bookmarkStart w:id="48" w:name="_Toc301337546"/>
      <w:bookmarkStart w:id="49" w:name="_Toc453688922"/>
      <w:bookmarkStart w:id="50" w:name="_Toc320625733"/>
      <w:bookmarkStart w:id="51" w:name="_Toc19851"/>
      <w:bookmarkStart w:id="52" w:name="_Toc18424"/>
      <w:bookmarkStart w:id="53" w:name="_Toc24955"/>
      <w:bookmarkStart w:id="54" w:name="_Toc302728583"/>
      <w:bookmarkStart w:id="55" w:name="_Toc2121"/>
      <w:bookmarkStart w:id="56" w:name="_Toc453063841"/>
      <w:bookmarkStart w:id="57" w:name="_Toc328665196"/>
      <w:bookmarkStart w:id="58" w:name="_Toc453689682"/>
      <w:r>
        <w:rPr>
          <w:rFonts w:hint="eastAsia"/>
          <w:highlight w:val="none"/>
        </w:rPr>
        <w:t>术语和定义</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14:paraId="11FFAAD8">
      <w:pPr>
        <w:pStyle w:val="27"/>
        <w:autoSpaceDE w:val="0"/>
        <w:autoSpaceDN w:val="0"/>
        <w:snapToGrid w:val="0"/>
        <w:rPr>
          <w:rFonts w:hint="eastAsia" w:ascii="宋体" w:hAnsi="宋体" w:eastAsia="宋体" w:cs="仿宋"/>
          <w:color w:val="000000"/>
          <w:kern w:val="0"/>
          <w:sz w:val="18"/>
          <w:szCs w:val="21"/>
          <w:highlight w:val="none"/>
          <w:lang w:eastAsia="zh-CN"/>
        </w:rPr>
      </w:pPr>
      <w:r>
        <w:rPr>
          <w:rFonts w:hint="eastAsia" w:hAnsi="宋体" w:cs="宋体"/>
          <w:highlight w:val="none"/>
          <w:lang w:val="en-US" w:eastAsia="zh-CN"/>
        </w:rPr>
        <w:t>本文件没有需要</w:t>
      </w:r>
      <w:r>
        <w:rPr>
          <w:rFonts w:hint="eastAsia"/>
          <w:highlight w:val="none"/>
        </w:rPr>
        <w:t>界定的术语和定义。</w:t>
      </w:r>
      <w:bookmarkStart w:id="59" w:name="_Toc324"/>
      <w:bookmarkStart w:id="60" w:name="_Toc15042"/>
      <w:bookmarkStart w:id="61" w:name="_Toc6234"/>
      <w:bookmarkStart w:id="62" w:name="_Toc9920"/>
    </w:p>
    <w:bookmarkEnd w:id="59"/>
    <w:bookmarkEnd w:id="60"/>
    <w:bookmarkEnd w:id="61"/>
    <w:bookmarkEnd w:id="62"/>
    <w:p w14:paraId="72547F35">
      <w:pPr>
        <w:pStyle w:val="73"/>
        <w:adjustRightInd/>
        <w:snapToGrid/>
        <w:spacing w:before="0" w:after="0"/>
        <w:outlineLvl w:val="0"/>
        <w:rPr>
          <w:rFonts w:hint="eastAsia" w:ascii="黑体" w:hAnsi="Times New Roman" w:eastAsia="黑体" w:cs="Times New Roman"/>
          <w:highlight w:val="none"/>
          <w:lang w:val="en-US" w:eastAsia="zh-CN"/>
        </w:rPr>
      </w:pPr>
      <w:bookmarkStart w:id="63" w:name="_Toc23023"/>
      <w:bookmarkStart w:id="64" w:name="_Toc10984"/>
      <w:bookmarkStart w:id="65" w:name="_Toc14030"/>
      <w:r>
        <w:rPr>
          <w:rFonts w:hint="eastAsia" w:ascii="黑体" w:hAnsi="Times New Roman" w:eastAsia="黑体" w:cs="Times New Roman"/>
          <w:highlight w:val="none"/>
          <w:lang w:val="en-US" w:eastAsia="zh-CN"/>
        </w:rPr>
        <w:t>总体要求</w:t>
      </w:r>
      <w:bookmarkEnd w:id="63"/>
    </w:p>
    <w:p w14:paraId="2EE7B830">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240" w:lineRule="auto"/>
        <w:ind w:left="0"/>
        <w:jc w:val="both"/>
        <w:textAlignment w:val="auto"/>
        <w:outlineLvl w:val="9"/>
        <w:rPr>
          <w:rFonts w:hint="eastAsia" w:ascii="宋体" w:hAnsi="宋体" w:eastAsia="宋体" w:cs="宋体"/>
          <w:highlight w:val="none"/>
        </w:rPr>
      </w:pPr>
      <w:bookmarkStart w:id="66" w:name="_Toc9804"/>
      <w:bookmarkStart w:id="67" w:name="_Toc26658"/>
      <w:bookmarkStart w:id="68" w:name="_Toc22240"/>
      <w:bookmarkStart w:id="69" w:name="_Toc23156"/>
      <w:bookmarkStart w:id="70" w:name="_Toc16666"/>
      <w:bookmarkStart w:id="71" w:name="_Toc8287"/>
      <w:bookmarkStart w:id="72" w:name="_Toc3527"/>
      <w:bookmarkStart w:id="73" w:name="_Toc164158306"/>
      <w:bookmarkStart w:id="74" w:name="_Toc11038"/>
      <w:bookmarkStart w:id="75" w:name="_Toc9765"/>
      <w:bookmarkStart w:id="76" w:name="_Toc164090054"/>
      <w:bookmarkStart w:id="77" w:name="_Toc3393"/>
      <w:bookmarkStart w:id="78" w:name="_Toc6281"/>
      <w:bookmarkStart w:id="79" w:name="_Toc164158638"/>
      <w:bookmarkStart w:id="80" w:name="_Toc10642"/>
      <w:bookmarkStart w:id="81" w:name="_Toc5029"/>
      <w:bookmarkStart w:id="82" w:name="_Toc3128"/>
      <w:bookmarkStart w:id="83" w:name="_Toc28629"/>
      <w:r>
        <w:rPr>
          <w:rFonts w:hint="eastAsia" w:ascii="宋体" w:hAnsi="宋体" w:eastAsia="宋体" w:cs="宋体"/>
          <w:b/>
          <w:bCs/>
          <w:highlight w:val="none"/>
          <w:lang w:val="en-US" w:eastAsia="zh-CN"/>
        </w:rPr>
        <w:t>4.1</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Fonts w:hint="eastAsia" w:ascii="Times New Roman" w:hAnsi="Times New Roman" w:eastAsia="宋体"/>
          <w:highlight w:val="none"/>
        </w:rPr>
        <w:t>应委托具有</w:t>
      </w:r>
      <w:r>
        <w:rPr>
          <w:rFonts w:hint="eastAsia"/>
          <w:highlight w:val="none"/>
        </w:rPr>
        <w:t>海洋石油天然气开采</w:t>
      </w:r>
      <w:r>
        <w:rPr>
          <w:rFonts w:hint="eastAsia" w:ascii="Times New Roman" w:hAnsi="Times New Roman"/>
          <w:highlight w:val="none"/>
          <w:lang w:val="en-US" w:eastAsia="zh-CN"/>
        </w:rPr>
        <w:t>评价</w:t>
      </w:r>
      <w:r>
        <w:rPr>
          <w:rFonts w:hint="eastAsia" w:ascii="Times New Roman" w:hAnsi="Times New Roman" w:eastAsia="宋体"/>
          <w:highlight w:val="none"/>
        </w:rPr>
        <w:t>资质的</w:t>
      </w:r>
      <w:r>
        <w:rPr>
          <w:rFonts w:hint="eastAsia" w:ascii="Times New Roman" w:hAnsi="Times New Roman"/>
          <w:highlight w:val="none"/>
          <w:lang w:val="en-US" w:eastAsia="zh-CN"/>
        </w:rPr>
        <w:t>安全评价机构</w:t>
      </w:r>
      <w:r>
        <w:rPr>
          <w:rFonts w:hint="eastAsia" w:ascii="Times New Roman" w:hAnsi="Times New Roman" w:eastAsia="宋体"/>
          <w:highlight w:val="none"/>
        </w:rPr>
        <w:t>进行安全</w:t>
      </w:r>
      <w:r>
        <w:rPr>
          <w:rFonts w:hint="eastAsia"/>
          <w:highlight w:val="none"/>
          <w:lang w:val="en-US" w:eastAsia="zh-CN"/>
        </w:rPr>
        <w:t>现状</w:t>
      </w:r>
      <w:r>
        <w:rPr>
          <w:rFonts w:hint="eastAsia" w:ascii="Times New Roman" w:hAnsi="Times New Roman"/>
          <w:highlight w:val="none"/>
          <w:lang w:val="en-US" w:eastAsia="zh-CN"/>
        </w:rPr>
        <w:t>评价</w:t>
      </w:r>
      <w:r>
        <w:rPr>
          <w:rFonts w:hint="eastAsia" w:ascii="Times New Roman" w:hAnsi="Times New Roman" w:eastAsia="宋体"/>
          <w:highlight w:val="none"/>
        </w:rPr>
        <w:t>，并编制</w:t>
      </w:r>
      <w:r>
        <w:rPr>
          <w:rFonts w:hint="eastAsia" w:ascii="Times New Roman" w:hAnsi="Times New Roman"/>
          <w:highlight w:val="none"/>
          <w:lang w:val="en-US" w:eastAsia="zh-CN"/>
        </w:rPr>
        <w:t>安全</w:t>
      </w:r>
      <w:r>
        <w:rPr>
          <w:rFonts w:hint="eastAsia"/>
          <w:highlight w:val="none"/>
          <w:lang w:val="en-US" w:eastAsia="zh-CN"/>
        </w:rPr>
        <w:t>现状</w:t>
      </w:r>
      <w:r>
        <w:rPr>
          <w:rFonts w:hint="eastAsia" w:ascii="Times New Roman" w:hAnsi="Times New Roman"/>
          <w:highlight w:val="none"/>
          <w:lang w:val="en-US" w:eastAsia="zh-CN"/>
        </w:rPr>
        <w:t>评价报告</w:t>
      </w:r>
      <w:r>
        <w:rPr>
          <w:rFonts w:hint="eastAsia"/>
          <w:highlight w:val="none"/>
          <w:lang w:val="en-US" w:eastAsia="zh-CN"/>
        </w:rPr>
        <w:t>。</w:t>
      </w:r>
    </w:p>
    <w:p w14:paraId="1A282363">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240" w:lineRule="auto"/>
        <w:ind w:left="0"/>
        <w:jc w:val="both"/>
        <w:textAlignment w:val="auto"/>
        <w:outlineLvl w:val="9"/>
        <w:rPr>
          <w:rFonts w:hint="eastAsia" w:ascii="宋体" w:hAnsi="宋体" w:eastAsia="宋体" w:cs="宋体"/>
          <w:highlight w:val="none"/>
        </w:rPr>
      </w:pPr>
      <w:r>
        <w:rPr>
          <w:rFonts w:hint="eastAsia" w:ascii="宋体" w:hAnsi="宋体" w:eastAsia="宋体" w:cs="宋体"/>
          <w:b/>
          <w:bCs/>
          <w:highlight w:val="none"/>
          <w:lang w:val="en-US" w:eastAsia="zh-CN"/>
        </w:rPr>
        <w:t>4.2</w:t>
      </w:r>
      <w:r>
        <w:rPr>
          <w:rFonts w:hint="eastAsia" w:ascii="宋体" w:hAnsi="宋体" w:eastAsia="宋体" w:cs="宋体"/>
          <w:highlight w:val="none"/>
          <w:lang w:val="en-US" w:eastAsia="zh-CN"/>
        </w:rPr>
        <w:t>评价机构应</w:t>
      </w:r>
      <w:r>
        <w:rPr>
          <w:rFonts w:hint="eastAsia" w:ascii="宋体" w:hAnsi="宋体" w:eastAsia="宋体" w:cs="宋体"/>
          <w:highlight w:val="none"/>
        </w:rPr>
        <w:t>根据</w:t>
      </w:r>
      <w:r>
        <w:rPr>
          <w:rFonts w:hint="eastAsia" w:ascii="宋体" w:hAnsi="宋体" w:cs="宋体"/>
          <w:highlight w:val="none"/>
          <w:lang w:val="en-US" w:eastAsia="zh-CN"/>
        </w:rPr>
        <w:t>评价对象</w:t>
      </w:r>
      <w:r>
        <w:rPr>
          <w:rFonts w:hint="eastAsia" w:ascii="宋体" w:hAnsi="宋体" w:eastAsia="宋体" w:cs="宋体"/>
          <w:highlight w:val="none"/>
        </w:rPr>
        <w:t>特点，选择相应专业的专职安全评价人员组成评价项目组</w:t>
      </w:r>
      <w:r>
        <w:rPr>
          <w:rFonts w:hint="eastAsia" w:ascii="宋体" w:hAnsi="宋体" w:eastAsia="宋体" w:cs="宋体"/>
          <w:highlight w:val="none"/>
          <w:lang w:eastAsia="zh-CN"/>
        </w:rPr>
        <w:t>。</w:t>
      </w:r>
    </w:p>
    <w:p w14:paraId="2236BED9">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240" w:lineRule="auto"/>
        <w:ind w:left="0"/>
        <w:jc w:val="both"/>
        <w:textAlignment w:val="auto"/>
        <w:outlineLvl w:val="9"/>
        <w:rPr>
          <w:rFonts w:hint="eastAsia" w:ascii="宋体" w:hAnsi="宋体" w:eastAsia="宋体" w:cs="宋体"/>
          <w:highlight w:val="none"/>
          <w:lang w:val="en-US" w:eastAsia="zh-CN"/>
        </w:rPr>
      </w:pPr>
      <w:r>
        <w:rPr>
          <w:rFonts w:hint="eastAsia" w:ascii="宋体" w:hAnsi="宋体" w:eastAsia="宋体" w:cs="宋体"/>
          <w:b/>
          <w:bCs/>
          <w:highlight w:val="none"/>
          <w:lang w:val="en-US" w:eastAsia="zh-CN"/>
        </w:rPr>
        <w:t>4.</w:t>
      </w:r>
      <w:r>
        <w:rPr>
          <w:rFonts w:hint="eastAsia" w:ascii="宋体" w:hAnsi="宋体" w:cs="宋体"/>
          <w:b/>
          <w:bCs/>
          <w:highlight w:val="none"/>
          <w:lang w:val="en-US" w:eastAsia="zh-CN"/>
        </w:rPr>
        <w:t>3</w:t>
      </w:r>
      <w:r>
        <w:rPr>
          <w:rFonts w:hint="eastAsia" w:ascii="宋体" w:hAnsi="宋体" w:eastAsia="宋体" w:cs="宋体"/>
          <w:highlight w:val="none"/>
          <w:lang w:val="en-US" w:eastAsia="zh-CN"/>
        </w:rPr>
        <w:t>安全现状评价报告</w:t>
      </w:r>
      <w:bookmarkStart w:id="234" w:name="_GoBack"/>
      <w:bookmarkEnd w:id="234"/>
      <w:r>
        <w:rPr>
          <w:rFonts w:hint="eastAsia" w:ascii="宋体" w:hAnsi="宋体" w:eastAsia="宋体" w:cs="宋体"/>
          <w:highlight w:val="none"/>
          <w:lang w:val="en-US" w:eastAsia="zh-CN"/>
        </w:rPr>
        <w:t>章节应包括：</w:t>
      </w:r>
    </w:p>
    <w:p w14:paraId="16D6B328">
      <w:pPr>
        <w:pStyle w:val="145"/>
        <w:keepNext w:val="0"/>
        <w:keepLines w:val="0"/>
        <w:pageBreakBefore w:val="0"/>
        <w:widowControl/>
        <w:numPr>
          <w:ilvl w:val="0"/>
          <w:numId w:val="21"/>
        </w:numPr>
        <w:kinsoku/>
        <w:wordWrap/>
        <w:overflowPunct/>
        <w:topLinePunct w:val="0"/>
        <w:autoSpaceDE/>
        <w:autoSpaceDN/>
        <w:bidi w:val="0"/>
        <w:adjustRightInd/>
        <w:snapToGrid/>
        <w:spacing w:line="240" w:lineRule="auto"/>
        <w:ind w:left="839" w:leftChars="0" w:hanging="419" w:firstLineChars="0"/>
        <w:textAlignment w:val="auto"/>
        <w:rPr>
          <w:rFonts w:hint="eastAsia" w:ascii="宋体" w:eastAsia="宋体"/>
          <w:highlight w:val="none"/>
          <w:lang w:val="en-US" w:eastAsia="zh-CN"/>
        </w:rPr>
      </w:pPr>
      <w:r>
        <w:rPr>
          <w:rFonts w:hint="eastAsia" w:ascii="宋体" w:eastAsia="宋体"/>
          <w:highlight w:val="none"/>
          <w:lang w:val="en-US" w:eastAsia="zh-CN"/>
        </w:rPr>
        <w:t>评价概述；</w:t>
      </w:r>
    </w:p>
    <w:p w14:paraId="3B6488F1">
      <w:pPr>
        <w:pStyle w:val="145"/>
        <w:keepNext w:val="0"/>
        <w:keepLines w:val="0"/>
        <w:pageBreakBefore w:val="0"/>
        <w:widowControl/>
        <w:numPr>
          <w:ilvl w:val="0"/>
          <w:numId w:val="21"/>
        </w:numPr>
        <w:kinsoku/>
        <w:wordWrap/>
        <w:overflowPunct/>
        <w:topLinePunct w:val="0"/>
        <w:autoSpaceDE/>
        <w:autoSpaceDN/>
        <w:bidi w:val="0"/>
        <w:adjustRightInd/>
        <w:snapToGrid/>
        <w:spacing w:line="240" w:lineRule="auto"/>
        <w:ind w:left="839" w:leftChars="0" w:hanging="419" w:firstLineChars="0"/>
        <w:textAlignment w:val="auto"/>
        <w:rPr>
          <w:rFonts w:hint="eastAsia" w:ascii="宋体" w:eastAsia="宋体"/>
          <w:highlight w:val="none"/>
          <w:lang w:val="en-US" w:eastAsia="zh-CN"/>
        </w:rPr>
      </w:pPr>
      <w:r>
        <w:rPr>
          <w:rFonts w:hint="eastAsia" w:ascii="宋体" w:eastAsia="宋体"/>
          <w:highlight w:val="none"/>
          <w:lang w:val="en-US" w:eastAsia="zh-CN"/>
        </w:rPr>
        <w:t>企业概况；</w:t>
      </w:r>
    </w:p>
    <w:p w14:paraId="64EB2C81">
      <w:pPr>
        <w:pStyle w:val="145"/>
        <w:keepNext w:val="0"/>
        <w:keepLines w:val="0"/>
        <w:pageBreakBefore w:val="0"/>
        <w:widowControl/>
        <w:numPr>
          <w:ilvl w:val="0"/>
          <w:numId w:val="21"/>
        </w:numPr>
        <w:kinsoku/>
        <w:wordWrap/>
        <w:overflowPunct/>
        <w:topLinePunct w:val="0"/>
        <w:autoSpaceDE/>
        <w:autoSpaceDN/>
        <w:bidi w:val="0"/>
        <w:adjustRightInd/>
        <w:snapToGrid/>
        <w:spacing w:line="240" w:lineRule="auto"/>
        <w:ind w:left="839" w:leftChars="0" w:hanging="419" w:firstLineChars="0"/>
        <w:textAlignment w:val="auto"/>
        <w:rPr>
          <w:rFonts w:hint="eastAsia" w:ascii="宋体" w:eastAsia="宋体"/>
          <w:highlight w:val="none"/>
          <w:lang w:val="en-US" w:eastAsia="zh-CN"/>
        </w:rPr>
      </w:pPr>
      <w:r>
        <w:rPr>
          <w:rFonts w:hint="eastAsia" w:ascii="宋体" w:eastAsia="宋体"/>
          <w:highlight w:val="none"/>
          <w:lang w:val="en-US" w:eastAsia="zh-CN"/>
        </w:rPr>
        <w:t>评价单元</w:t>
      </w:r>
      <w:r>
        <w:rPr>
          <w:rFonts w:hint="eastAsia"/>
          <w:highlight w:val="none"/>
          <w:lang w:val="en-US" w:eastAsia="zh-CN"/>
        </w:rPr>
        <w:t>划分与</w:t>
      </w:r>
      <w:r>
        <w:rPr>
          <w:rFonts w:hint="eastAsia" w:ascii="宋体" w:eastAsia="宋体"/>
          <w:highlight w:val="none"/>
          <w:lang w:val="en-US" w:eastAsia="zh-CN"/>
        </w:rPr>
        <w:t>评价方法</w:t>
      </w:r>
      <w:r>
        <w:rPr>
          <w:rFonts w:hint="eastAsia"/>
          <w:highlight w:val="none"/>
          <w:lang w:val="en-US" w:eastAsia="zh-CN"/>
        </w:rPr>
        <w:t>选择</w:t>
      </w:r>
      <w:r>
        <w:rPr>
          <w:rFonts w:hint="eastAsia" w:ascii="宋体" w:eastAsia="宋体"/>
          <w:highlight w:val="none"/>
          <w:lang w:val="en-US" w:eastAsia="zh-CN"/>
        </w:rPr>
        <w:t>；</w:t>
      </w:r>
    </w:p>
    <w:p w14:paraId="242BAB1A">
      <w:pPr>
        <w:pStyle w:val="145"/>
        <w:keepNext w:val="0"/>
        <w:keepLines w:val="0"/>
        <w:pageBreakBefore w:val="0"/>
        <w:widowControl/>
        <w:numPr>
          <w:ilvl w:val="0"/>
          <w:numId w:val="21"/>
        </w:numPr>
        <w:kinsoku/>
        <w:wordWrap/>
        <w:overflowPunct/>
        <w:topLinePunct w:val="0"/>
        <w:autoSpaceDE/>
        <w:autoSpaceDN/>
        <w:bidi w:val="0"/>
        <w:adjustRightInd/>
        <w:snapToGrid/>
        <w:spacing w:line="240" w:lineRule="auto"/>
        <w:ind w:left="839" w:leftChars="0" w:hanging="419" w:firstLineChars="0"/>
        <w:textAlignment w:val="auto"/>
        <w:rPr>
          <w:rFonts w:hint="eastAsia" w:ascii="宋体" w:eastAsia="宋体"/>
          <w:highlight w:val="none"/>
          <w:lang w:val="en-US" w:eastAsia="zh-CN"/>
        </w:rPr>
      </w:pPr>
      <w:r>
        <w:rPr>
          <w:rFonts w:hint="eastAsia"/>
          <w:highlight w:val="none"/>
          <w:lang w:val="en-US" w:eastAsia="zh-CN"/>
        </w:rPr>
        <w:t>危险有害因素辨识与分析</w:t>
      </w:r>
      <w:r>
        <w:rPr>
          <w:rFonts w:hint="eastAsia" w:ascii="宋体" w:eastAsia="宋体"/>
          <w:highlight w:val="none"/>
          <w:lang w:val="en-US" w:eastAsia="zh-CN"/>
        </w:rPr>
        <w:t>；</w:t>
      </w:r>
    </w:p>
    <w:p w14:paraId="70C1B44D">
      <w:pPr>
        <w:pStyle w:val="145"/>
        <w:keepNext w:val="0"/>
        <w:keepLines w:val="0"/>
        <w:pageBreakBefore w:val="0"/>
        <w:widowControl/>
        <w:numPr>
          <w:ilvl w:val="0"/>
          <w:numId w:val="21"/>
        </w:numPr>
        <w:kinsoku/>
        <w:wordWrap/>
        <w:overflowPunct/>
        <w:topLinePunct w:val="0"/>
        <w:autoSpaceDE/>
        <w:autoSpaceDN/>
        <w:bidi w:val="0"/>
        <w:adjustRightInd/>
        <w:snapToGrid/>
        <w:spacing w:line="240" w:lineRule="auto"/>
        <w:ind w:left="839" w:leftChars="0" w:hanging="419" w:firstLineChars="0"/>
        <w:textAlignment w:val="auto"/>
        <w:rPr>
          <w:rFonts w:hint="eastAsia" w:ascii="宋体" w:eastAsia="宋体"/>
          <w:highlight w:val="none"/>
          <w:lang w:val="en-US" w:eastAsia="zh-CN"/>
        </w:rPr>
      </w:pPr>
      <w:r>
        <w:rPr>
          <w:rFonts w:hint="eastAsia" w:ascii="宋体" w:eastAsia="宋体"/>
          <w:highlight w:val="none"/>
          <w:lang w:val="en-US" w:eastAsia="zh-CN"/>
        </w:rPr>
        <w:t>设备设施及生产作业</w:t>
      </w:r>
      <w:r>
        <w:rPr>
          <w:rFonts w:hint="eastAsia"/>
          <w:highlight w:val="none"/>
          <w:lang w:val="en-US" w:eastAsia="zh-CN"/>
        </w:rPr>
        <w:t>活动</w:t>
      </w:r>
      <w:r>
        <w:rPr>
          <w:rFonts w:hint="eastAsia" w:ascii="宋体" w:eastAsia="宋体"/>
          <w:highlight w:val="none"/>
          <w:lang w:val="en-US" w:eastAsia="zh-CN"/>
        </w:rPr>
        <w:t>单元评价；</w:t>
      </w:r>
    </w:p>
    <w:p w14:paraId="3352C11C">
      <w:pPr>
        <w:pStyle w:val="145"/>
        <w:keepNext w:val="0"/>
        <w:keepLines w:val="0"/>
        <w:pageBreakBefore w:val="0"/>
        <w:widowControl/>
        <w:numPr>
          <w:ilvl w:val="0"/>
          <w:numId w:val="21"/>
        </w:numPr>
        <w:kinsoku/>
        <w:wordWrap/>
        <w:overflowPunct/>
        <w:topLinePunct w:val="0"/>
        <w:autoSpaceDE/>
        <w:autoSpaceDN/>
        <w:bidi w:val="0"/>
        <w:adjustRightInd/>
        <w:snapToGrid/>
        <w:spacing w:line="240" w:lineRule="auto"/>
        <w:ind w:left="839" w:leftChars="0" w:hanging="419" w:firstLineChars="0"/>
        <w:textAlignment w:val="auto"/>
        <w:rPr>
          <w:rFonts w:hint="eastAsia" w:ascii="宋体" w:eastAsia="宋体"/>
          <w:highlight w:val="none"/>
          <w:lang w:val="en-US" w:eastAsia="zh-CN"/>
        </w:rPr>
      </w:pPr>
      <w:r>
        <w:rPr>
          <w:rFonts w:hint="eastAsia" w:ascii="宋体" w:eastAsia="宋体"/>
          <w:highlight w:val="none"/>
          <w:lang w:val="en-US" w:eastAsia="zh-CN"/>
        </w:rPr>
        <w:t>安全管理单元评价；</w:t>
      </w:r>
    </w:p>
    <w:p w14:paraId="498E63F3">
      <w:pPr>
        <w:pStyle w:val="145"/>
        <w:keepNext w:val="0"/>
        <w:keepLines w:val="0"/>
        <w:pageBreakBefore w:val="0"/>
        <w:widowControl/>
        <w:numPr>
          <w:ilvl w:val="0"/>
          <w:numId w:val="21"/>
        </w:numPr>
        <w:kinsoku/>
        <w:wordWrap/>
        <w:overflowPunct/>
        <w:topLinePunct w:val="0"/>
        <w:autoSpaceDE/>
        <w:autoSpaceDN/>
        <w:bidi w:val="0"/>
        <w:adjustRightInd/>
        <w:snapToGrid/>
        <w:spacing w:line="240" w:lineRule="auto"/>
        <w:ind w:left="839" w:leftChars="0" w:hanging="419" w:firstLineChars="0"/>
        <w:textAlignment w:val="auto"/>
        <w:rPr>
          <w:rFonts w:hint="eastAsia" w:ascii="宋体" w:eastAsia="宋体"/>
          <w:highlight w:val="none"/>
          <w:lang w:val="en-US" w:eastAsia="zh-CN"/>
        </w:rPr>
      </w:pPr>
      <w:r>
        <w:rPr>
          <w:rFonts w:hint="eastAsia" w:ascii="宋体" w:eastAsia="宋体"/>
          <w:highlight w:val="none"/>
          <w:lang w:val="en-US" w:eastAsia="zh-CN"/>
        </w:rPr>
        <w:t>安全对策措施及建议；</w:t>
      </w:r>
    </w:p>
    <w:p w14:paraId="2A06EB5E">
      <w:pPr>
        <w:pStyle w:val="145"/>
        <w:keepNext w:val="0"/>
        <w:keepLines w:val="0"/>
        <w:pageBreakBefore w:val="0"/>
        <w:widowControl/>
        <w:numPr>
          <w:ilvl w:val="0"/>
          <w:numId w:val="21"/>
        </w:numPr>
        <w:kinsoku/>
        <w:wordWrap/>
        <w:overflowPunct/>
        <w:topLinePunct w:val="0"/>
        <w:autoSpaceDE/>
        <w:autoSpaceDN/>
        <w:bidi w:val="0"/>
        <w:adjustRightInd/>
        <w:snapToGrid/>
        <w:spacing w:line="240" w:lineRule="auto"/>
        <w:ind w:left="839" w:leftChars="0" w:hanging="419" w:firstLineChars="0"/>
        <w:textAlignment w:val="auto"/>
        <w:rPr>
          <w:rFonts w:hint="eastAsia" w:ascii="宋体" w:eastAsia="宋体"/>
          <w:highlight w:val="none"/>
          <w:lang w:val="en-US" w:eastAsia="zh-CN"/>
        </w:rPr>
      </w:pPr>
      <w:r>
        <w:rPr>
          <w:rFonts w:hint="eastAsia" w:ascii="宋体" w:eastAsia="宋体"/>
          <w:highlight w:val="none"/>
          <w:lang w:val="en-US" w:eastAsia="zh-CN"/>
        </w:rPr>
        <w:t>安全</w:t>
      </w:r>
      <w:r>
        <w:rPr>
          <w:rFonts w:hint="eastAsia"/>
          <w:highlight w:val="none"/>
          <w:lang w:val="en-US" w:eastAsia="zh-CN"/>
        </w:rPr>
        <w:t>现状</w:t>
      </w:r>
      <w:r>
        <w:rPr>
          <w:rFonts w:hint="eastAsia" w:ascii="宋体" w:eastAsia="宋体"/>
          <w:highlight w:val="none"/>
          <w:lang w:val="en-US" w:eastAsia="zh-CN"/>
        </w:rPr>
        <w:t>评价结论</w:t>
      </w:r>
      <w:r>
        <w:rPr>
          <w:rFonts w:hint="eastAsia"/>
          <w:highlight w:val="none"/>
          <w:lang w:val="en-US" w:eastAsia="zh-CN"/>
        </w:rPr>
        <w:t>；</w:t>
      </w:r>
    </w:p>
    <w:p w14:paraId="51D3FDF9">
      <w:pPr>
        <w:pStyle w:val="145"/>
        <w:keepNext w:val="0"/>
        <w:keepLines w:val="0"/>
        <w:pageBreakBefore w:val="0"/>
        <w:widowControl/>
        <w:numPr>
          <w:ilvl w:val="0"/>
          <w:numId w:val="21"/>
        </w:numPr>
        <w:kinsoku/>
        <w:wordWrap/>
        <w:overflowPunct/>
        <w:topLinePunct w:val="0"/>
        <w:autoSpaceDE/>
        <w:autoSpaceDN/>
        <w:bidi w:val="0"/>
        <w:adjustRightInd/>
        <w:snapToGrid/>
        <w:spacing w:line="240" w:lineRule="auto"/>
        <w:ind w:left="839" w:leftChars="0" w:hanging="419" w:firstLineChars="0"/>
        <w:textAlignment w:val="auto"/>
        <w:rPr>
          <w:rFonts w:hint="eastAsia" w:ascii="宋体" w:eastAsia="宋体"/>
          <w:highlight w:val="none"/>
          <w:lang w:val="en-US" w:eastAsia="zh-CN"/>
        </w:rPr>
      </w:pPr>
      <w:r>
        <w:rPr>
          <w:rFonts w:hint="eastAsia"/>
          <w:highlight w:val="none"/>
          <w:lang w:val="en-US" w:eastAsia="zh-CN"/>
        </w:rPr>
        <w:t>附件。</w:t>
      </w:r>
    </w:p>
    <w:p w14:paraId="68D89FC5">
      <w:pPr>
        <w:rPr>
          <w:rFonts w:hint="default"/>
          <w:highlight w:val="none"/>
          <w:lang w:val="en-US" w:eastAsia="zh-CN"/>
        </w:rPr>
      </w:pPr>
      <w:r>
        <w:rPr>
          <w:rFonts w:hint="eastAsia" w:ascii="宋体" w:hAnsi="宋体" w:cs="宋体"/>
          <w:b/>
          <w:bCs/>
          <w:kern w:val="2"/>
          <w:szCs w:val="24"/>
          <w:highlight w:val="none"/>
          <w:lang w:val="en-US" w:eastAsia="zh-CN" w:bidi="ar"/>
        </w:rPr>
        <w:t>4.4</w:t>
      </w:r>
      <w:r>
        <w:rPr>
          <w:rFonts w:hint="eastAsia" w:cs="Times New Roman"/>
          <w:kern w:val="0"/>
          <w:szCs w:val="21"/>
          <w:highlight w:val="none"/>
          <w:lang w:val="en-US" w:eastAsia="zh-CN" w:bidi="ar"/>
        </w:rPr>
        <w:t>安全评价机构开展技术服务时，应如实记录工作内容、现场踏勘、隐患问题整改和评价过程会商情况，格式参照附录A。</w:t>
      </w:r>
    </w:p>
    <w:p w14:paraId="05147611">
      <w:pPr>
        <w:pStyle w:val="73"/>
        <w:adjustRightInd w:val="0"/>
        <w:snapToGrid w:val="0"/>
        <w:spacing w:before="326" w:beforeLines="100" w:after="326" w:afterLines="100"/>
        <w:outlineLvl w:val="0"/>
        <w:rPr>
          <w:rFonts w:hint="default" w:hAnsi="黑体"/>
          <w:bCs/>
          <w:color w:val="000000"/>
          <w:szCs w:val="21"/>
          <w:highlight w:val="none"/>
          <w:lang w:val="en-US" w:eastAsia="zh-CN"/>
        </w:rPr>
      </w:pPr>
      <w:bookmarkStart w:id="84" w:name="_Toc17723"/>
      <w:r>
        <w:rPr>
          <w:rFonts w:hint="eastAsia" w:hAnsi="黑体"/>
          <w:bCs/>
          <w:color w:val="000000"/>
          <w:szCs w:val="21"/>
          <w:highlight w:val="none"/>
          <w:lang w:val="en-US" w:eastAsia="zh-CN"/>
        </w:rPr>
        <w:t>评价概述</w:t>
      </w:r>
      <w:bookmarkEnd w:id="64"/>
      <w:bookmarkEnd w:id="84"/>
    </w:p>
    <w:p w14:paraId="0099B565">
      <w:pPr>
        <w:snapToGrid w:val="0"/>
        <w:spacing w:before="156" w:beforeLines="50" w:after="156" w:afterLines="50"/>
        <w:outlineLvl w:val="1"/>
        <w:rPr>
          <w:rFonts w:hint="default" w:ascii="黑体" w:hAnsi="黑体" w:eastAsia="黑体" w:cs="黑体"/>
          <w:bCs/>
          <w:color w:val="000000"/>
          <w:szCs w:val="21"/>
          <w:highlight w:val="none"/>
          <w:lang w:val="en-US" w:eastAsia="zh-CN"/>
        </w:rPr>
      </w:pPr>
      <w:bookmarkStart w:id="85" w:name="_Toc3423"/>
      <w:r>
        <w:rPr>
          <w:rFonts w:hint="eastAsia" w:ascii="宋体" w:hAnsi="宋体" w:eastAsia="宋体" w:cs="宋体"/>
          <w:b/>
          <w:bCs/>
          <w:highlight w:val="none"/>
          <w:lang w:val="en-US" w:eastAsia="zh-CN"/>
        </w:rPr>
        <w:t>5.1</w:t>
      </w:r>
      <w:r>
        <w:rPr>
          <w:rFonts w:hint="eastAsia" w:ascii="黑体" w:hAnsi="黑体" w:eastAsia="黑体" w:cs="黑体"/>
          <w:bCs/>
          <w:color w:val="000000"/>
          <w:szCs w:val="21"/>
          <w:highlight w:val="none"/>
          <w:lang w:val="en-US" w:eastAsia="zh-CN"/>
        </w:rPr>
        <w:t>评价目的</w:t>
      </w:r>
      <w:bookmarkEnd w:id="85"/>
    </w:p>
    <w:p w14:paraId="7DE519FC">
      <w:pPr>
        <w:pStyle w:val="147"/>
        <w:ind w:firstLine="420"/>
        <w:rPr>
          <w:highlight w:val="none"/>
        </w:rPr>
      </w:pPr>
      <w:r>
        <w:rPr>
          <w:rFonts w:hint="eastAsia"/>
          <w:highlight w:val="none"/>
        </w:rPr>
        <w:t>评价目的包括：</w:t>
      </w:r>
    </w:p>
    <w:p w14:paraId="60C343C3">
      <w:pPr>
        <w:pStyle w:val="145"/>
        <w:numPr>
          <w:ilvl w:val="0"/>
          <w:numId w:val="22"/>
        </w:numPr>
        <w:tabs>
          <w:tab w:val="left" w:pos="839"/>
        </w:tabs>
        <w:rPr>
          <w:highlight w:val="none"/>
        </w:rPr>
      </w:pPr>
      <w:r>
        <w:rPr>
          <w:rFonts w:hint="eastAsia"/>
          <w:highlight w:val="none"/>
        </w:rPr>
        <w:t>识别与分析评价对象</w:t>
      </w:r>
      <w:r>
        <w:rPr>
          <w:rFonts w:hint="eastAsia"/>
          <w:highlight w:val="none"/>
          <w:lang w:val="en-US" w:eastAsia="zh-CN"/>
        </w:rPr>
        <w:t>可能</w:t>
      </w:r>
      <w:r>
        <w:rPr>
          <w:rFonts w:hint="eastAsia"/>
          <w:highlight w:val="none"/>
        </w:rPr>
        <w:t>存在的主要</w:t>
      </w:r>
      <w:r>
        <w:rPr>
          <w:rFonts w:hint="eastAsia"/>
          <w:highlight w:val="none"/>
          <w:lang w:val="en-US" w:eastAsia="zh-CN"/>
        </w:rPr>
        <w:t>危险有害因素</w:t>
      </w:r>
      <w:r>
        <w:rPr>
          <w:rFonts w:hint="eastAsia"/>
          <w:highlight w:val="none"/>
        </w:rPr>
        <w:t>；</w:t>
      </w:r>
    </w:p>
    <w:p w14:paraId="063465D1">
      <w:pPr>
        <w:pStyle w:val="145"/>
        <w:numPr>
          <w:ilvl w:val="0"/>
          <w:numId w:val="22"/>
        </w:numPr>
        <w:tabs>
          <w:tab w:val="left" w:pos="839"/>
        </w:tabs>
        <w:rPr>
          <w:highlight w:val="none"/>
        </w:rPr>
      </w:pPr>
      <w:r>
        <w:rPr>
          <w:rFonts w:hint="eastAsia"/>
          <w:highlight w:val="none"/>
        </w:rPr>
        <w:t>确定评价对象与安全生产法律法规、</w:t>
      </w:r>
      <w:r>
        <w:rPr>
          <w:rFonts w:hint="eastAsia"/>
          <w:highlight w:val="none"/>
          <w:lang w:val="en-US" w:eastAsia="zh-CN"/>
        </w:rPr>
        <w:t>部门</w:t>
      </w:r>
      <w:r>
        <w:rPr>
          <w:rFonts w:hint="eastAsia"/>
          <w:highlight w:val="none"/>
        </w:rPr>
        <w:t>规章、规范</w:t>
      </w:r>
      <w:r>
        <w:rPr>
          <w:rFonts w:hint="eastAsia"/>
          <w:highlight w:val="none"/>
          <w:lang w:val="en-US" w:eastAsia="zh-CN"/>
        </w:rPr>
        <w:t>性文件、</w:t>
      </w:r>
      <w:r>
        <w:rPr>
          <w:rFonts w:hint="eastAsia"/>
          <w:highlight w:val="none"/>
        </w:rPr>
        <w:t>标准的符合性；</w:t>
      </w:r>
    </w:p>
    <w:p w14:paraId="600B8B5C">
      <w:pPr>
        <w:pStyle w:val="145"/>
        <w:numPr>
          <w:ilvl w:val="0"/>
          <w:numId w:val="22"/>
        </w:numPr>
        <w:tabs>
          <w:tab w:val="left" w:pos="839"/>
        </w:tabs>
        <w:rPr>
          <w:rFonts w:hint="eastAsia" w:eastAsia="宋体"/>
          <w:highlight w:val="none"/>
          <w:lang w:val="en-US" w:eastAsia="zh-CN"/>
        </w:rPr>
      </w:pPr>
      <w:r>
        <w:rPr>
          <w:rFonts w:hint="eastAsia"/>
          <w:highlight w:val="none"/>
        </w:rPr>
        <w:t>提出具体有效的安全对策措施及建议，以提高评价对象的安全生产</w:t>
      </w:r>
      <w:r>
        <w:rPr>
          <w:rFonts w:hint="eastAsia"/>
          <w:highlight w:val="none"/>
          <w:lang w:val="en-US" w:eastAsia="zh-CN"/>
        </w:rPr>
        <w:t>和安全</w:t>
      </w:r>
      <w:r>
        <w:rPr>
          <w:rFonts w:hint="eastAsia"/>
          <w:highlight w:val="none"/>
        </w:rPr>
        <w:t>管理水平</w:t>
      </w:r>
      <w:r>
        <w:rPr>
          <w:rFonts w:hint="eastAsia"/>
          <w:highlight w:val="none"/>
          <w:lang w:eastAsia="zh-CN"/>
        </w:rPr>
        <w:t>。</w:t>
      </w:r>
    </w:p>
    <w:p w14:paraId="223E3629">
      <w:pPr>
        <w:snapToGrid w:val="0"/>
        <w:spacing w:before="156" w:beforeLines="50" w:after="156" w:afterLines="50"/>
        <w:outlineLvl w:val="1"/>
        <w:rPr>
          <w:rFonts w:hint="default" w:ascii="黑体" w:hAnsi="黑体" w:eastAsia="黑体" w:cs="黑体"/>
          <w:bCs/>
          <w:color w:val="000000"/>
          <w:szCs w:val="21"/>
          <w:highlight w:val="none"/>
          <w:lang w:val="en-US" w:eastAsia="zh-CN"/>
        </w:rPr>
      </w:pPr>
      <w:bookmarkStart w:id="86" w:name="_Toc9354"/>
      <w:bookmarkStart w:id="87" w:name="_Toc14846"/>
      <w:r>
        <w:rPr>
          <w:rFonts w:hint="eastAsia" w:ascii="宋体" w:hAnsi="宋体" w:eastAsia="宋体" w:cs="宋体"/>
          <w:b/>
          <w:bCs/>
          <w:highlight w:val="none"/>
          <w:lang w:val="en-US" w:eastAsia="zh-CN"/>
        </w:rPr>
        <w:t>5.2</w:t>
      </w:r>
      <w:r>
        <w:rPr>
          <w:rFonts w:hint="eastAsia" w:ascii="黑体" w:hAnsi="黑体" w:eastAsia="黑体" w:cs="黑体"/>
          <w:bCs/>
          <w:color w:val="000000"/>
          <w:szCs w:val="21"/>
          <w:highlight w:val="none"/>
          <w:lang w:val="en-US" w:eastAsia="zh-CN"/>
        </w:rPr>
        <w:t>评价范围</w:t>
      </w:r>
      <w:bookmarkEnd w:id="86"/>
    </w:p>
    <w:p w14:paraId="21C2BB3F">
      <w:pPr>
        <w:pStyle w:val="27"/>
        <w:keepNext w:val="0"/>
        <w:keepLines w:val="0"/>
        <w:pageBreakBefore w:val="0"/>
        <w:widowControl/>
        <w:kinsoku/>
        <w:wordWrap/>
        <w:overflowPunct/>
        <w:topLinePunct w:val="0"/>
        <w:autoSpaceDE w:val="0"/>
        <w:autoSpaceDN w:val="0"/>
        <w:bidi w:val="0"/>
        <w:adjustRightInd/>
        <w:snapToGrid/>
        <w:textAlignment w:val="auto"/>
        <w:rPr>
          <w:rFonts w:hint="eastAsia" w:ascii="宋体"/>
          <w:kern w:val="0"/>
          <w:szCs w:val="20"/>
          <w:highlight w:val="none"/>
        </w:rPr>
      </w:pPr>
      <w:r>
        <w:rPr>
          <w:rFonts w:hint="eastAsia"/>
          <w:kern w:val="0"/>
          <w:szCs w:val="20"/>
          <w:highlight w:val="none"/>
          <w:lang w:val="en-US" w:eastAsia="zh-CN"/>
        </w:rPr>
        <w:t>评价范围应涵盖</w:t>
      </w:r>
      <w:r>
        <w:rPr>
          <w:rFonts w:hint="eastAsia" w:ascii="宋体"/>
          <w:kern w:val="0"/>
          <w:szCs w:val="20"/>
          <w:highlight w:val="none"/>
        </w:rPr>
        <w:t>海上采油（气）、管道储运</w:t>
      </w:r>
      <w:r>
        <w:rPr>
          <w:rFonts w:hint="eastAsia"/>
          <w:kern w:val="0"/>
          <w:szCs w:val="20"/>
          <w:highlight w:val="none"/>
          <w:lang w:eastAsia="zh-CN"/>
        </w:rPr>
        <w:t>、</w:t>
      </w:r>
      <w:r>
        <w:rPr>
          <w:rFonts w:hint="eastAsia" w:ascii="宋体"/>
          <w:kern w:val="0"/>
          <w:szCs w:val="20"/>
          <w:highlight w:val="none"/>
        </w:rPr>
        <w:t>物探、钻井、录井、测井、井下作业、海油工程等</w:t>
      </w:r>
      <w:r>
        <w:rPr>
          <w:rFonts w:hint="eastAsia"/>
          <w:kern w:val="0"/>
          <w:szCs w:val="20"/>
          <w:highlight w:val="none"/>
          <w:lang w:val="en-US" w:eastAsia="zh-CN"/>
        </w:rPr>
        <w:t>海洋</w:t>
      </w:r>
      <w:r>
        <w:rPr>
          <w:rFonts w:hint="eastAsia" w:ascii="宋体"/>
          <w:kern w:val="0"/>
          <w:szCs w:val="20"/>
          <w:highlight w:val="none"/>
        </w:rPr>
        <w:t>石油天然气企业设备设施</w:t>
      </w:r>
      <w:r>
        <w:rPr>
          <w:rFonts w:hint="eastAsia"/>
          <w:kern w:val="0"/>
          <w:szCs w:val="20"/>
          <w:highlight w:val="none"/>
          <w:lang w:eastAsia="zh-CN"/>
        </w:rPr>
        <w:t>、</w:t>
      </w:r>
      <w:r>
        <w:rPr>
          <w:rFonts w:hint="eastAsia" w:ascii="宋体"/>
          <w:kern w:val="0"/>
          <w:szCs w:val="20"/>
          <w:highlight w:val="none"/>
        </w:rPr>
        <w:t>生产作业活动及安全管理情况。</w:t>
      </w:r>
    </w:p>
    <w:p w14:paraId="3754A121">
      <w:pPr>
        <w:snapToGrid w:val="0"/>
        <w:spacing w:before="156" w:beforeLines="50" w:after="156" w:afterLines="50"/>
        <w:outlineLvl w:val="1"/>
        <w:rPr>
          <w:rFonts w:hint="default" w:ascii="黑体" w:hAnsi="黑体" w:eastAsia="黑体" w:cs="黑体"/>
          <w:bCs/>
          <w:color w:val="000000"/>
          <w:szCs w:val="21"/>
          <w:highlight w:val="none"/>
          <w:lang w:val="en-US" w:eastAsia="zh-CN"/>
        </w:rPr>
      </w:pPr>
      <w:bookmarkStart w:id="88" w:name="_Toc10031"/>
      <w:r>
        <w:rPr>
          <w:rFonts w:hint="eastAsia" w:ascii="宋体" w:hAnsi="宋体" w:eastAsia="宋体" w:cs="宋体"/>
          <w:b/>
          <w:bCs/>
          <w:highlight w:val="none"/>
          <w:lang w:val="en-US" w:eastAsia="zh-CN"/>
        </w:rPr>
        <w:t>5.3</w:t>
      </w:r>
      <w:r>
        <w:rPr>
          <w:rFonts w:hint="eastAsia" w:ascii="黑体" w:hAnsi="黑体" w:eastAsia="黑体" w:cs="黑体"/>
          <w:bCs/>
          <w:color w:val="000000"/>
          <w:szCs w:val="21"/>
          <w:highlight w:val="none"/>
          <w:lang w:val="en-US" w:eastAsia="zh-CN"/>
        </w:rPr>
        <w:t>评价依据</w:t>
      </w:r>
      <w:bookmarkEnd w:id="88"/>
    </w:p>
    <w:p w14:paraId="70B1CB28">
      <w:pPr>
        <w:pStyle w:val="147"/>
        <w:ind w:firstLine="420"/>
        <w:rPr>
          <w:highlight w:val="none"/>
        </w:rPr>
      </w:pPr>
      <w:r>
        <w:rPr>
          <w:rFonts w:hint="eastAsia"/>
          <w:highlight w:val="none"/>
        </w:rPr>
        <w:t>评价依据包括以下资料：</w:t>
      </w:r>
    </w:p>
    <w:p w14:paraId="624924F2">
      <w:pPr>
        <w:pStyle w:val="147"/>
        <w:numPr>
          <w:ilvl w:val="0"/>
          <w:numId w:val="23"/>
        </w:numPr>
        <w:ind w:firstLine="420"/>
        <w:rPr>
          <w:highlight w:val="none"/>
        </w:rPr>
      </w:pPr>
      <w:r>
        <w:rPr>
          <w:rFonts w:hint="eastAsia"/>
          <w:highlight w:val="none"/>
        </w:rPr>
        <w:t>国家法律法规、</w:t>
      </w:r>
      <w:r>
        <w:rPr>
          <w:rFonts w:hint="eastAsia"/>
          <w:highlight w:val="none"/>
          <w:lang w:val="en-US" w:eastAsia="zh-CN"/>
        </w:rPr>
        <w:t>部门</w:t>
      </w:r>
      <w:r>
        <w:rPr>
          <w:rFonts w:hint="eastAsia"/>
          <w:highlight w:val="none"/>
        </w:rPr>
        <w:t>规章、规范</w:t>
      </w:r>
      <w:r>
        <w:rPr>
          <w:rFonts w:hint="eastAsia"/>
          <w:highlight w:val="none"/>
          <w:lang w:val="en-US" w:eastAsia="zh-CN"/>
        </w:rPr>
        <w:t>性</w:t>
      </w:r>
      <w:r>
        <w:rPr>
          <w:rFonts w:hint="eastAsia"/>
          <w:highlight w:val="none"/>
        </w:rPr>
        <w:t>文件；</w:t>
      </w:r>
    </w:p>
    <w:p w14:paraId="4AA37EF5">
      <w:pPr>
        <w:pStyle w:val="147"/>
        <w:ind w:firstLine="420"/>
        <w:rPr>
          <w:highlight w:val="none"/>
        </w:rPr>
      </w:pPr>
      <w:r>
        <w:rPr>
          <w:rFonts w:hint="eastAsia"/>
          <w:highlight w:val="none"/>
          <w:lang w:val="en-US" w:eastAsia="zh-CN"/>
        </w:rPr>
        <w:t>b</w:t>
      </w:r>
      <w:r>
        <w:rPr>
          <w:rFonts w:hint="eastAsia"/>
          <w:highlight w:val="none"/>
        </w:rPr>
        <w:t>)</w:t>
      </w:r>
      <w:r>
        <w:rPr>
          <w:rFonts w:hint="eastAsia"/>
          <w:highlight w:val="none"/>
        </w:rPr>
        <w:tab/>
      </w:r>
      <w:r>
        <w:rPr>
          <w:rFonts w:hint="eastAsia"/>
          <w:highlight w:val="none"/>
        </w:rPr>
        <w:t>国家</w:t>
      </w:r>
      <w:r>
        <w:rPr>
          <w:rFonts w:hint="eastAsia"/>
          <w:highlight w:val="none"/>
          <w:lang w:val="en-US" w:eastAsia="zh-CN"/>
        </w:rPr>
        <w:t>标准</w:t>
      </w:r>
      <w:r>
        <w:rPr>
          <w:rFonts w:hint="eastAsia"/>
          <w:highlight w:val="none"/>
        </w:rPr>
        <w:t>和行业标准；</w:t>
      </w:r>
    </w:p>
    <w:p w14:paraId="3D771CE5">
      <w:pPr>
        <w:pStyle w:val="147"/>
        <w:ind w:firstLine="420"/>
        <w:rPr>
          <w:rFonts w:hint="default" w:eastAsia="宋体"/>
          <w:highlight w:val="none"/>
          <w:lang w:val="en-US" w:eastAsia="zh-CN"/>
        </w:rPr>
      </w:pPr>
      <w:r>
        <w:rPr>
          <w:rFonts w:hint="eastAsia"/>
          <w:highlight w:val="none"/>
          <w:lang w:val="en-US" w:eastAsia="zh-CN"/>
        </w:rPr>
        <w:t>c</w:t>
      </w:r>
      <w:r>
        <w:rPr>
          <w:rFonts w:hint="eastAsia"/>
          <w:highlight w:val="none"/>
        </w:rPr>
        <w:t>)</w:t>
      </w:r>
      <w:r>
        <w:rPr>
          <w:rFonts w:hint="eastAsia"/>
          <w:highlight w:val="none"/>
        </w:rPr>
        <w:tab/>
      </w:r>
      <w:r>
        <w:rPr>
          <w:rFonts w:hint="eastAsia"/>
          <w:highlight w:val="none"/>
          <w:lang w:val="en-US" w:eastAsia="zh-CN"/>
        </w:rPr>
        <w:t>设备设施、生产作业活动和安全管理资料；</w:t>
      </w:r>
    </w:p>
    <w:p w14:paraId="62F5A168">
      <w:pPr>
        <w:pStyle w:val="147"/>
        <w:ind w:firstLine="420"/>
        <w:rPr>
          <w:rFonts w:hint="eastAsia"/>
          <w:highlight w:val="none"/>
        </w:rPr>
      </w:pPr>
      <w:r>
        <w:rPr>
          <w:rFonts w:hint="eastAsia"/>
          <w:highlight w:val="none"/>
          <w:lang w:val="en-US" w:eastAsia="zh-CN"/>
        </w:rPr>
        <w:t>d</w:t>
      </w:r>
      <w:r>
        <w:rPr>
          <w:rFonts w:hint="eastAsia"/>
          <w:highlight w:val="none"/>
        </w:rPr>
        <w:t>)</w:t>
      </w:r>
      <w:r>
        <w:rPr>
          <w:rFonts w:hint="eastAsia"/>
          <w:highlight w:val="none"/>
        </w:rPr>
        <w:tab/>
      </w:r>
      <w:r>
        <w:rPr>
          <w:rFonts w:hint="eastAsia"/>
          <w:highlight w:val="none"/>
          <w:lang w:val="en-US" w:eastAsia="zh-CN"/>
        </w:rPr>
        <w:t>其他相关资料</w:t>
      </w:r>
      <w:r>
        <w:rPr>
          <w:rFonts w:hint="eastAsia"/>
          <w:highlight w:val="none"/>
        </w:rPr>
        <w:t>。</w:t>
      </w:r>
    </w:p>
    <w:p w14:paraId="3E84C9B3">
      <w:pPr>
        <w:snapToGrid w:val="0"/>
        <w:spacing w:before="156" w:beforeLines="50" w:after="156" w:afterLines="50"/>
        <w:outlineLvl w:val="1"/>
        <w:rPr>
          <w:rFonts w:hint="eastAsia" w:ascii="黑体" w:hAnsi="黑体" w:eastAsia="黑体" w:cs="黑体"/>
          <w:bCs/>
          <w:color w:val="000000"/>
          <w:szCs w:val="21"/>
          <w:highlight w:val="none"/>
          <w:lang w:val="en-US" w:eastAsia="zh-CN"/>
        </w:rPr>
      </w:pPr>
      <w:bookmarkStart w:id="89" w:name="_Toc16898"/>
      <w:r>
        <w:rPr>
          <w:rFonts w:hint="eastAsia" w:ascii="黑体" w:hAnsi="黑体" w:eastAsia="黑体" w:cs="黑体"/>
          <w:bCs/>
          <w:color w:val="000000"/>
          <w:szCs w:val="21"/>
          <w:highlight w:val="none"/>
          <w:lang w:val="en-US" w:eastAsia="zh-CN"/>
        </w:rPr>
        <w:t>5.4评价程序</w:t>
      </w:r>
      <w:bookmarkEnd w:id="89"/>
    </w:p>
    <w:p w14:paraId="44002C7D">
      <w:pPr>
        <w:pStyle w:val="27"/>
        <w:rPr>
          <w:rFonts w:hint="eastAsia" w:eastAsia="宋体"/>
          <w:highlight w:val="none"/>
          <w:lang w:val="en-US" w:eastAsia="zh-CN"/>
        </w:rPr>
      </w:pPr>
      <w:r>
        <w:rPr>
          <w:rFonts w:hint="eastAsia" w:ascii="宋体" w:hAnsi="Times New Roman" w:eastAsia="宋体" w:cs="Times New Roman"/>
          <w:highlight w:val="none"/>
          <w:lang w:val="en-US" w:eastAsia="zh-CN"/>
        </w:rPr>
        <w:t>安全现状评价程序应包括</w:t>
      </w:r>
      <w:r>
        <w:rPr>
          <w:rFonts w:hint="eastAsia" w:ascii="宋体" w:hAnsi="Times New Roman" w:eastAsia="宋体" w:cs="Times New Roman"/>
          <w:highlight w:val="none"/>
        </w:rPr>
        <w:t>前期准备、</w:t>
      </w:r>
      <w:r>
        <w:rPr>
          <w:rFonts w:hint="eastAsia" w:ascii="宋体" w:hAnsi="Times New Roman" w:cs="Times New Roman"/>
          <w:highlight w:val="none"/>
          <w:lang w:val="en-US" w:eastAsia="zh-CN"/>
        </w:rPr>
        <w:t>现场</w:t>
      </w:r>
      <w:r>
        <w:rPr>
          <w:rFonts w:hint="eastAsia" w:cs="Times New Roman"/>
          <w:highlight w:val="none"/>
          <w:lang w:val="en-US" w:eastAsia="zh-CN"/>
        </w:rPr>
        <w:t>踏勘</w:t>
      </w:r>
      <w:r>
        <w:rPr>
          <w:rFonts w:hint="eastAsia" w:ascii="宋体" w:hAnsi="Times New Roman" w:cs="Times New Roman"/>
          <w:highlight w:val="none"/>
          <w:lang w:val="en-US" w:eastAsia="zh-CN"/>
        </w:rPr>
        <w:t>、</w:t>
      </w:r>
      <w:r>
        <w:rPr>
          <w:rFonts w:hint="eastAsia" w:ascii="宋体" w:hAnsi="Times New Roman" w:eastAsia="宋体" w:cs="Times New Roman"/>
          <w:highlight w:val="none"/>
        </w:rPr>
        <w:t>评价单元划分</w:t>
      </w:r>
      <w:r>
        <w:rPr>
          <w:rFonts w:hint="eastAsia" w:ascii="宋体" w:hAnsi="Times New Roman" w:cs="Times New Roman"/>
          <w:highlight w:val="none"/>
          <w:lang w:val="en-US" w:eastAsia="zh-CN"/>
        </w:rPr>
        <w:t>与</w:t>
      </w:r>
      <w:r>
        <w:rPr>
          <w:rFonts w:hint="eastAsia" w:ascii="宋体" w:hAnsi="Times New Roman" w:eastAsia="宋体" w:cs="Times New Roman"/>
          <w:highlight w:val="none"/>
        </w:rPr>
        <w:t>评价方法选择、</w:t>
      </w:r>
      <w:r>
        <w:rPr>
          <w:rFonts w:hint="eastAsia" w:ascii="宋体" w:hAnsi="Times New Roman" w:cs="Times New Roman"/>
          <w:highlight w:val="none"/>
          <w:lang w:val="en-US" w:eastAsia="zh-CN"/>
        </w:rPr>
        <w:t>危险有害因素</w:t>
      </w:r>
      <w:r>
        <w:rPr>
          <w:rFonts w:hint="eastAsia" w:ascii="宋体" w:hAnsi="Times New Roman" w:eastAsia="宋体" w:cs="Times New Roman"/>
          <w:highlight w:val="none"/>
        </w:rPr>
        <w:t>辨识</w:t>
      </w:r>
      <w:r>
        <w:rPr>
          <w:rFonts w:hint="eastAsia" w:cs="Times New Roman"/>
          <w:highlight w:val="none"/>
          <w:lang w:val="en-US" w:eastAsia="zh-CN"/>
        </w:rPr>
        <w:t>与分析</w:t>
      </w:r>
      <w:r>
        <w:rPr>
          <w:rFonts w:hint="eastAsia" w:ascii="宋体" w:hAnsi="Times New Roman" w:eastAsia="宋体" w:cs="Times New Roman"/>
          <w:highlight w:val="none"/>
        </w:rPr>
        <w:t>、</w:t>
      </w:r>
      <w:r>
        <w:rPr>
          <w:rFonts w:hint="eastAsia" w:cs="Times New Roman"/>
          <w:highlight w:val="none"/>
          <w:lang w:val="en-US" w:eastAsia="zh-CN"/>
        </w:rPr>
        <w:t>单元</w:t>
      </w:r>
      <w:r>
        <w:rPr>
          <w:rFonts w:hint="eastAsia" w:ascii="宋体" w:hAnsi="Times New Roman" w:eastAsia="宋体" w:cs="Times New Roman"/>
          <w:highlight w:val="none"/>
        </w:rPr>
        <w:t>评价、</w:t>
      </w:r>
      <w:r>
        <w:rPr>
          <w:rFonts w:hint="eastAsia" w:ascii="宋体" w:hAnsi="Times New Roman" w:eastAsia="宋体" w:cs="Times New Roman"/>
          <w:highlight w:val="none"/>
          <w:lang w:val="en-US" w:eastAsia="zh-CN"/>
        </w:rPr>
        <w:t>提出</w:t>
      </w:r>
      <w:r>
        <w:rPr>
          <w:rFonts w:hint="eastAsia" w:ascii="宋体" w:hAnsi="Times New Roman" w:eastAsia="宋体" w:cs="Times New Roman"/>
          <w:highlight w:val="none"/>
        </w:rPr>
        <w:t>安全对策措施及建议、</w:t>
      </w:r>
      <w:r>
        <w:rPr>
          <w:rFonts w:hint="eastAsia" w:cs="Times New Roman"/>
          <w:highlight w:val="none"/>
          <w:lang w:val="en-US" w:eastAsia="zh-CN"/>
        </w:rPr>
        <w:t>给出安全现状评价结论</w:t>
      </w:r>
      <w:r>
        <w:rPr>
          <w:rFonts w:hint="eastAsia" w:ascii="宋体" w:hAnsi="Times New Roman" w:eastAsia="宋体" w:cs="Times New Roman"/>
          <w:highlight w:val="none"/>
        </w:rPr>
        <w:t>、编制</w:t>
      </w:r>
      <w:r>
        <w:rPr>
          <w:rFonts w:hint="eastAsia" w:ascii="宋体" w:hAnsi="Times New Roman" w:eastAsia="宋体" w:cs="Times New Roman"/>
          <w:highlight w:val="none"/>
          <w:lang w:val="en-US" w:eastAsia="zh-CN"/>
        </w:rPr>
        <w:t>安全现状评价</w:t>
      </w:r>
      <w:r>
        <w:rPr>
          <w:rFonts w:hint="eastAsia" w:ascii="宋体" w:hAnsi="Times New Roman" w:eastAsia="宋体" w:cs="Times New Roman"/>
          <w:highlight w:val="none"/>
        </w:rPr>
        <w:t>报告。</w:t>
      </w:r>
    </w:p>
    <w:bookmarkEnd w:id="65"/>
    <w:bookmarkEnd w:id="87"/>
    <w:p w14:paraId="010B0D66">
      <w:pPr>
        <w:pStyle w:val="73"/>
        <w:adjustRightInd w:val="0"/>
        <w:snapToGrid w:val="0"/>
        <w:spacing w:before="326" w:beforeLines="100" w:after="326" w:afterLines="100"/>
        <w:outlineLvl w:val="0"/>
        <w:rPr>
          <w:rFonts w:hint="eastAsia" w:hAnsi="黑体"/>
          <w:bCs/>
          <w:color w:val="000000"/>
          <w:szCs w:val="21"/>
          <w:highlight w:val="none"/>
          <w:lang w:val="en-US" w:eastAsia="zh-CN"/>
        </w:rPr>
      </w:pPr>
      <w:bookmarkStart w:id="90" w:name="_Toc22454"/>
      <w:bookmarkStart w:id="91" w:name="_Toc86763394"/>
      <w:bookmarkStart w:id="92" w:name="_Toc18663"/>
      <w:bookmarkStart w:id="93" w:name="_Toc12827"/>
      <w:bookmarkStart w:id="94" w:name="_Toc86839789"/>
      <w:r>
        <w:rPr>
          <w:rFonts w:hint="eastAsia" w:hAnsi="黑体"/>
          <w:bCs/>
          <w:color w:val="000000"/>
          <w:szCs w:val="21"/>
          <w:highlight w:val="none"/>
          <w:lang w:val="en-US" w:eastAsia="zh-CN"/>
        </w:rPr>
        <w:t>企业概况</w:t>
      </w:r>
      <w:bookmarkEnd w:id="90"/>
    </w:p>
    <w:p w14:paraId="0200DFCE">
      <w:pPr>
        <w:snapToGrid w:val="0"/>
        <w:spacing w:before="156" w:beforeLines="50" w:after="156" w:afterLines="50"/>
        <w:outlineLvl w:val="1"/>
        <w:rPr>
          <w:rFonts w:hint="eastAsia" w:ascii="黑体" w:hAnsi="黑体" w:eastAsia="黑体" w:cs="黑体"/>
          <w:bCs/>
          <w:color w:val="000000"/>
          <w:szCs w:val="21"/>
          <w:highlight w:val="none"/>
          <w:lang w:val="en-US" w:eastAsia="zh-CN"/>
        </w:rPr>
      </w:pPr>
      <w:bookmarkStart w:id="95" w:name="_Toc14528"/>
      <w:r>
        <w:rPr>
          <w:rFonts w:hint="eastAsia" w:ascii="宋体" w:hAnsi="宋体" w:eastAsia="宋体" w:cs="宋体"/>
          <w:b/>
          <w:bCs/>
          <w:highlight w:val="none"/>
          <w:lang w:val="en-US" w:eastAsia="zh-CN"/>
        </w:rPr>
        <w:t>6.1</w:t>
      </w:r>
      <w:r>
        <w:rPr>
          <w:rFonts w:hint="eastAsia" w:ascii="黑体" w:hAnsi="黑体" w:eastAsia="黑体" w:cs="黑体"/>
          <w:bCs/>
          <w:color w:val="000000"/>
          <w:szCs w:val="21"/>
          <w:highlight w:val="none"/>
          <w:lang w:val="en-US" w:eastAsia="zh-CN"/>
        </w:rPr>
        <w:t>基本情况</w:t>
      </w:r>
      <w:bookmarkEnd w:id="95"/>
    </w:p>
    <w:p w14:paraId="79146F7F">
      <w:pPr>
        <w:pStyle w:val="27"/>
        <w:keepNext w:val="0"/>
        <w:keepLines w:val="0"/>
        <w:pageBreakBefore w:val="0"/>
        <w:widowControl/>
        <w:kinsoku/>
        <w:wordWrap/>
        <w:overflowPunct/>
        <w:topLinePunct w:val="0"/>
        <w:autoSpaceDE w:val="0"/>
        <w:autoSpaceDN w:val="0"/>
        <w:bidi w:val="0"/>
        <w:adjustRightInd/>
        <w:snapToGrid/>
        <w:textAlignment w:val="auto"/>
        <w:rPr>
          <w:rFonts w:hint="eastAsia" w:ascii="宋体" w:eastAsia="宋体"/>
          <w:kern w:val="0"/>
          <w:szCs w:val="20"/>
          <w:highlight w:val="none"/>
          <w:lang w:eastAsia="zh-CN"/>
        </w:rPr>
      </w:pPr>
      <w:r>
        <w:rPr>
          <w:rFonts w:hint="eastAsia"/>
          <w:highlight w:val="none"/>
          <w:shd w:val="clear"/>
          <w:lang w:val="en-US" w:eastAsia="zh-CN"/>
        </w:rPr>
        <w:t>应说明评价对象</w:t>
      </w:r>
      <w:r>
        <w:rPr>
          <w:rFonts w:hint="eastAsia"/>
          <w:highlight w:val="none"/>
        </w:rPr>
        <w:t>基本情况，包括单位名称、单位类型、单位概况</w:t>
      </w:r>
      <w:r>
        <w:rPr>
          <w:rFonts w:hint="eastAsia"/>
          <w:highlight w:val="none"/>
          <w:lang w:eastAsia="zh-CN"/>
        </w:rPr>
        <w:t>、</w:t>
      </w:r>
      <w:r>
        <w:rPr>
          <w:rFonts w:hint="eastAsia"/>
          <w:highlight w:val="none"/>
          <w:lang w:val="en-US" w:eastAsia="zh-CN"/>
        </w:rPr>
        <w:t>组织机构、安全生产许可证变更情况</w:t>
      </w:r>
      <w:r>
        <w:rPr>
          <w:rFonts w:hint="eastAsia"/>
          <w:highlight w:val="none"/>
          <w:lang w:eastAsia="zh-CN"/>
        </w:rPr>
        <w:t>等。</w:t>
      </w:r>
    </w:p>
    <w:p w14:paraId="54E6D1BB">
      <w:pPr>
        <w:snapToGrid w:val="0"/>
        <w:spacing w:before="156" w:beforeLines="50" w:after="156" w:afterLines="50"/>
        <w:outlineLvl w:val="1"/>
        <w:rPr>
          <w:rFonts w:hint="eastAsia" w:ascii="黑体" w:hAnsi="黑体" w:eastAsia="黑体" w:cs="黑体"/>
          <w:bCs/>
          <w:color w:val="000000"/>
          <w:szCs w:val="21"/>
          <w:highlight w:val="none"/>
          <w:lang w:val="en-US" w:eastAsia="zh-CN"/>
        </w:rPr>
      </w:pPr>
      <w:bookmarkStart w:id="96" w:name="_Toc28955"/>
      <w:r>
        <w:rPr>
          <w:rFonts w:hint="eastAsia" w:ascii="宋体" w:hAnsi="宋体" w:eastAsia="宋体" w:cs="宋体"/>
          <w:b/>
          <w:bCs/>
          <w:highlight w:val="none"/>
          <w:lang w:val="en-US" w:eastAsia="zh-CN"/>
        </w:rPr>
        <w:t>6.2</w:t>
      </w:r>
      <w:r>
        <w:rPr>
          <w:rFonts w:hint="eastAsia" w:ascii="黑体" w:hAnsi="黑体" w:eastAsia="黑体" w:cs="黑体"/>
          <w:bCs/>
          <w:color w:val="000000"/>
          <w:szCs w:val="21"/>
          <w:highlight w:val="none"/>
          <w:lang w:val="en-US" w:eastAsia="zh-CN"/>
        </w:rPr>
        <w:t>设备设施及生产作业现状</w:t>
      </w:r>
      <w:bookmarkEnd w:id="96"/>
    </w:p>
    <w:p w14:paraId="3076F91E">
      <w:pPr>
        <w:widowControl/>
        <w:spacing w:before="156" w:beforeLines="50" w:after="156" w:afterLines="50"/>
        <w:jc w:val="left"/>
        <w:outlineLvl w:val="2"/>
        <w:rPr>
          <w:rFonts w:hint="eastAsia" w:ascii="黑体" w:hAnsi="黑体" w:eastAsia="黑体" w:cs="黑体"/>
          <w:highlight w:val="none"/>
          <w:lang w:val="en-US" w:eastAsia="zh-CN"/>
        </w:rPr>
      </w:pPr>
      <w:r>
        <w:rPr>
          <w:rFonts w:hint="eastAsia" w:ascii="宋体" w:hAnsi="宋体" w:eastAsia="宋体" w:cs="宋体"/>
          <w:b/>
          <w:bCs/>
          <w:highlight w:val="none"/>
          <w:lang w:val="en-US" w:eastAsia="zh-CN"/>
        </w:rPr>
        <w:t>6.2.</w:t>
      </w:r>
      <w:r>
        <w:rPr>
          <w:rFonts w:hint="eastAsia" w:ascii="宋体" w:hAnsi="宋体" w:cs="宋体"/>
          <w:b/>
          <w:bCs/>
          <w:highlight w:val="none"/>
          <w:lang w:val="en-US" w:eastAsia="zh-CN"/>
        </w:rPr>
        <w:t>1</w:t>
      </w:r>
      <w:r>
        <w:rPr>
          <w:rFonts w:hint="eastAsia" w:ascii="黑体" w:hAnsi="黑体" w:eastAsia="黑体" w:cs="黑体"/>
          <w:highlight w:val="none"/>
          <w:lang w:val="en-US" w:eastAsia="zh-CN"/>
        </w:rPr>
        <w:t>海上采油（气）及管道储运</w:t>
      </w:r>
    </w:p>
    <w:p w14:paraId="07C002A1">
      <w:pPr>
        <w:pStyle w:val="147"/>
        <w:ind w:firstLine="420"/>
        <w:rPr>
          <w:rFonts w:hint="eastAsia"/>
          <w:highlight w:val="none"/>
        </w:rPr>
      </w:pPr>
      <w:r>
        <w:rPr>
          <w:rFonts w:hint="eastAsia"/>
          <w:highlight w:val="none"/>
        </w:rPr>
        <w:t>主要内容至少包括：</w:t>
      </w:r>
    </w:p>
    <w:p w14:paraId="247EDF67">
      <w:pPr>
        <w:pStyle w:val="145"/>
        <w:numPr>
          <w:ilvl w:val="0"/>
          <w:numId w:val="24"/>
        </w:numPr>
        <w:tabs>
          <w:tab w:val="left" w:pos="839"/>
        </w:tabs>
        <w:rPr>
          <w:rFonts w:hint="eastAsia"/>
          <w:highlight w:val="none"/>
          <w:lang w:val="en-US" w:eastAsia="zh-CN"/>
        </w:rPr>
      </w:pPr>
      <w:r>
        <w:rPr>
          <w:rFonts w:hint="eastAsia"/>
          <w:highlight w:val="none"/>
          <w:lang w:val="en-US" w:eastAsia="zh-CN"/>
        </w:rPr>
        <w:t>海域自然及海洋环境概况</w:t>
      </w:r>
    </w:p>
    <w:p w14:paraId="0D135491">
      <w:pPr>
        <w:pStyle w:val="145"/>
        <w:numPr>
          <w:ilvl w:val="0"/>
          <w:numId w:val="25"/>
        </w:numPr>
        <w:rPr>
          <w:rFonts w:hint="eastAsia"/>
          <w:highlight w:val="none"/>
        </w:rPr>
      </w:pPr>
      <w:r>
        <w:rPr>
          <w:rFonts w:hint="eastAsia"/>
          <w:highlight w:val="none"/>
          <w:lang w:val="en-US" w:eastAsia="zh-CN"/>
        </w:rPr>
        <w:t>应说明</w:t>
      </w:r>
      <w:r>
        <w:rPr>
          <w:rFonts w:hint="eastAsia"/>
          <w:highlight w:val="none"/>
        </w:rPr>
        <w:t>海域自然及海洋环境</w:t>
      </w:r>
      <w:r>
        <w:rPr>
          <w:rFonts w:hint="eastAsia"/>
          <w:highlight w:val="none"/>
          <w:lang w:eastAsia="zh-CN"/>
        </w:rPr>
        <w:t>，</w:t>
      </w:r>
      <w:r>
        <w:rPr>
          <w:rFonts w:hint="eastAsia"/>
          <w:highlight w:val="none"/>
        </w:rPr>
        <w:t>包括水深、风速和风向、海冰、水温、气温、降水、波浪、海流、潮位</w:t>
      </w:r>
      <w:r>
        <w:rPr>
          <w:rFonts w:hint="eastAsia"/>
          <w:highlight w:val="none"/>
          <w:lang w:eastAsia="zh-CN"/>
        </w:rPr>
        <w:t>、</w:t>
      </w:r>
      <w:r>
        <w:rPr>
          <w:rFonts w:hint="eastAsia"/>
          <w:highlight w:val="none"/>
        </w:rPr>
        <w:t>地震、海底地质、</w:t>
      </w:r>
      <w:r>
        <w:rPr>
          <w:rFonts w:hint="eastAsia" w:ascii="宋体" w:hAnsi="宋体" w:eastAsia="宋体" w:cs="宋体"/>
          <w:sz w:val="21"/>
          <w:szCs w:val="21"/>
          <w:highlight w:val="none"/>
          <w:lang w:val="en-US" w:eastAsia="zh-CN"/>
        </w:rPr>
        <w:t>附着海生物</w:t>
      </w:r>
      <w:r>
        <w:rPr>
          <w:rFonts w:hint="eastAsia"/>
          <w:highlight w:val="none"/>
        </w:rPr>
        <w:t>等环境条件数据</w:t>
      </w:r>
      <w:r>
        <w:rPr>
          <w:rFonts w:hint="eastAsia"/>
          <w:highlight w:val="none"/>
          <w:lang w:eastAsia="zh-CN"/>
        </w:rPr>
        <w:t>；</w:t>
      </w:r>
    </w:p>
    <w:p w14:paraId="6FFAB047">
      <w:pPr>
        <w:pStyle w:val="145"/>
        <w:numPr>
          <w:ilvl w:val="0"/>
          <w:numId w:val="25"/>
        </w:numPr>
        <w:rPr>
          <w:rFonts w:hint="eastAsia"/>
          <w:highlight w:val="none"/>
          <w:lang w:val="en-US" w:eastAsia="zh-CN"/>
        </w:rPr>
      </w:pPr>
      <w:r>
        <w:rPr>
          <w:rFonts w:hint="eastAsia"/>
          <w:highlight w:val="none"/>
          <w:lang w:val="en-US" w:eastAsia="zh-CN"/>
        </w:rPr>
        <w:t>应说明</w:t>
      </w:r>
      <w:r>
        <w:rPr>
          <w:rFonts w:hint="eastAsia"/>
          <w:highlight w:val="none"/>
          <w:lang w:eastAsia="zh-CN"/>
        </w:rPr>
        <w:t>石油人工岛、</w:t>
      </w:r>
      <w:r>
        <w:rPr>
          <w:rFonts w:hint="eastAsia"/>
          <w:highlight w:val="none"/>
          <w:lang w:val="en-US" w:eastAsia="zh-CN"/>
        </w:rPr>
        <w:t>滩</w:t>
      </w:r>
      <w:r>
        <w:rPr>
          <w:rFonts w:hint="eastAsia"/>
          <w:highlight w:val="none"/>
        </w:rPr>
        <w:t>海陆岸石油设施</w:t>
      </w:r>
      <w:r>
        <w:rPr>
          <w:rFonts w:hint="eastAsia"/>
          <w:highlight w:val="none"/>
          <w:lang w:val="en-US" w:eastAsia="zh-CN"/>
        </w:rPr>
        <w:t>和</w:t>
      </w:r>
      <w:r>
        <w:rPr>
          <w:rFonts w:hint="eastAsia"/>
          <w:highlight w:val="none"/>
        </w:rPr>
        <w:t>陆岸终端所在地区</w:t>
      </w:r>
      <w:r>
        <w:rPr>
          <w:rFonts w:hint="eastAsia"/>
          <w:highlight w:val="none"/>
          <w:lang w:val="en-US" w:eastAsia="zh-CN"/>
        </w:rPr>
        <w:t>气象、水文、地质、抗震设防烈度、</w:t>
      </w:r>
      <w:r>
        <w:rPr>
          <w:rFonts w:hint="eastAsia"/>
          <w:highlight w:val="none"/>
        </w:rPr>
        <w:t>人文环境、交通运输，周边人居、企事业单位及敏感设施情况。</w:t>
      </w:r>
    </w:p>
    <w:p w14:paraId="44D2DB1A">
      <w:pPr>
        <w:pStyle w:val="145"/>
        <w:numPr>
          <w:ilvl w:val="0"/>
          <w:numId w:val="24"/>
        </w:numPr>
        <w:tabs>
          <w:tab w:val="left" w:pos="839"/>
        </w:tabs>
        <w:rPr>
          <w:rFonts w:hint="eastAsia"/>
          <w:highlight w:val="none"/>
        </w:rPr>
      </w:pPr>
      <w:r>
        <w:rPr>
          <w:rFonts w:hint="eastAsia"/>
          <w:highlight w:val="none"/>
          <w:lang w:val="en-US" w:eastAsia="zh-CN"/>
        </w:rPr>
        <w:t>海上开发工程</w:t>
      </w:r>
    </w:p>
    <w:p w14:paraId="5BB4E720">
      <w:pPr>
        <w:pStyle w:val="145"/>
        <w:numPr>
          <w:ilvl w:val="0"/>
          <w:numId w:val="26"/>
        </w:numPr>
        <w:rPr>
          <w:rFonts w:hint="eastAsia"/>
          <w:highlight w:val="none"/>
        </w:rPr>
      </w:pPr>
      <w:r>
        <w:rPr>
          <w:rFonts w:hint="eastAsia"/>
          <w:highlight w:val="none"/>
        </w:rPr>
        <w:t>油（气）田开发现状及依托条件、上下游物流关系等；</w:t>
      </w:r>
    </w:p>
    <w:p w14:paraId="412A1757">
      <w:pPr>
        <w:pStyle w:val="145"/>
        <w:numPr>
          <w:ilvl w:val="0"/>
          <w:numId w:val="26"/>
        </w:numPr>
        <w:rPr>
          <w:rFonts w:hint="eastAsia"/>
          <w:highlight w:val="none"/>
        </w:rPr>
      </w:pPr>
      <w:r>
        <w:rPr>
          <w:rFonts w:hint="eastAsia"/>
          <w:highlight w:val="none"/>
        </w:rPr>
        <w:t>周边环境（</w:t>
      </w:r>
      <w:r>
        <w:rPr>
          <w:rFonts w:hint="eastAsia"/>
          <w:highlight w:val="none"/>
          <w:lang w:eastAsia="zh-CN"/>
        </w:rPr>
        <w:t>石油人工岛、</w:t>
      </w:r>
      <w:r>
        <w:rPr>
          <w:rFonts w:hint="eastAsia"/>
          <w:highlight w:val="none"/>
        </w:rPr>
        <w:t>滩海陆岸石油设施和陆岸终端介绍周边环境）；</w:t>
      </w:r>
    </w:p>
    <w:p w14:paraId="25AF0D89">
      <w:pPr>
        <w:pStyle w:val="145"/>
        <w:numPr>
          <w:ilvl w:val="0"/>
          <w:numId w:val="26"/>
        </w:numPr>
        <w:rPr>
          <w:rFonts w:hint="eastAsia"/>
          <w:highlight w:val="none"/>
        </w:rPr>
      </w:pPr>
      <w:r>
        <w:rPr>
          <w:rFonts w:hint="eastAsia"/>
          <w:highlight w:val="none"/>
        </w:rPr>
        <w:t>结构与总体布置；</w:t>
      </w:r>
    </w:p>
    <w:p w14:paraId="5249D1F4">
      <w:pPr>
        <w:pStyle w:val="145"/>
        <w:numPr>
          <w:ilvl w:val="0"/>
          <w:numId w:val="26"/>
        </w:numPr>
        <w:rPr>
          <w:rFonts w:hint="eastAsia"/>
          <w:highlight w:val="none"/>
        </w:rPr>
      </w:pPr>
      <w:r>
        <w:rPr>
          <w:rFonts w:hint="eastAsia"/>
          <w:highlight w:val="none"/>
          <w:lang w:val="en-US" w:eastAsia="zh-CN"/>
        </w:rPr>
        <w:t>油气生产</w:t>
      </w:r>
      <w:r>
        <w:rPr>
          <w:rFonts w:hint="eastAsia"/>
          <w:highlight w:val="none"/>
        </w:rPr>
        <w:t>工艺系统；</w:t>
      </w:r>
    </w:p>
    <w:p w14:paraId="61EF6174">
      <w:pPr>
        <w:pStyle w:val="145"/>
        <w:numPr>
          <w:ilvl w:val="0"/>
          <w:numId w:val="26"/>
        </w:numPr>
        <w:rPr>
          <w:rFonts w:hint="eastAsia"/>
          <w:highlight w:val="none"/>
        </w:rPr>
      </w:pPr>
      <w:r>
        <w:rPr>
          <w:rFonts w:hint="eastAsia"/>
          <w:highlight w:val="none"/>
        </w:rPr>
        <w:t>公用及辅助系统；</w:t>
      </w:r>
    </w:p>
    <w:p w14:paraId="18A72308">
      <w:pPr>
        <w:pStyle w:val="145"/>
        <w:numPr>
          <w:ilvl w:val="0"/>
          <w:numId w:val="26"/>
        </w:numPr>
        <w:rPr>
          <w:rFonts w:hint="eastAsia"/>
          <w:highlight w:val="none"/>
        </w:rPr>
      </w:pPr>
      <w:r>
        <w:rPr>
          <w:rFonts w:hint="eastAsia"/>
          <w:highlight w:val="none"/>
        </w:rPr>
        <w:t>消防及救逃生系统；</w:t>
      </w:r>
    </w:p>
    <w:p w14:paraId="6F93A4DE">
      <w:pPr>
        <w:pStyle w:val="145"/>
        <w:numPr>
          <w:ilvl w:val="0"/>
          <w:numId w:val="26"/>
        </w:numPr>
        <w:rPr>
          <w:rFonts w:hint="eastAsia"/>
          <w:highlight w:val="none"/>
        </w:rPr>
      </w:pPr>
      <w:r>
        <w:rPr>
          <w:rFonts w:hint="eastAsia"/>
          <w:highlight w:val="none"/>
        </w:rPr>
        <w:t>海底管线</w:t>
      </w:r>
      <w:r>
        <w:rPr>
          <w:rFonts w:hint="eastAsia"/>
          <w:highlight w:val="none"/>
          <w:lang w:val="en-US" w:eastAsia="zh-CN"/>
        </w:rPr>
        <w:t>及电缆</w:t>
      </w:r>
      <w:r>
        <w:rPr>
          <w:rFonts w:hint="eastAsia"/>
          <w:highlight w:val="none"/>
        </w:rPr>
        <w:t>；</w:t>
      </w:r>
    </w:p>
    <w:p w14:paraId="546D4070">
      <w:pPr>
        <w:pStyle w:val="145"/>
        <w:numPr>
          <w:ilvl w:val="0"/>
          <w:numId w:val="26"/>
        </w:numPr>
        <w:rPr>
          <w:rFonts w:hint="eastAsia"/>
          <w:highlight w:val="none"/>
        </w:rPr>
      </w:pPr>
      <w:r>
        <w:rPr>
          <w:rFonts w:hint="eastAsia"/>
          <w:highlight w:val="none"/>
        </w:rPr>
        <w:t>模块钻机</w:t>
      </w:r>
      <w:r>
        <w:rPr>
          <w:rFonts w:hint="eastAsia"/>
          <w:highlight w:val="none"/>
          <w:lang w:eastAsia="zh-CN"/>
        </w:rPr>
        <w:t>、</w:t>
      </w:r>
      <w:r>
        <w:rPr>
          <w:rFonts w:hint="eastAsia"/>
          <w:highlight w:val="none"/>
        </w:rPr>
        <w:t>修井机。</w:t>
      </w:r>
    </w:p>
    <w:p w14:paraId="4C1BC510">
      <w:pPr>
        <w:widowControl/>
        <w:spacing w:before="156" w:beforeLines="50" w:after="156" w:afterLines="50"/>
        <w:jc w:val="left"/>
        <w:outlineLvl w:val="2"/>
        <w:rPr>
          <w:rFonts w:hint="eastAsia" w:ascii="黑体" w:hAnsi="黑体" w:eastAsia="黑体" w:cs="黑体"/>
          <w:highlight w:val="none"/>
          <w:lang w:val="en-US" w:eastAsia="zh-CN"/>
        </w:rPr>
      </w:pPr>
      <w:r>
        <w:rPr>
          <w:rFonts w:hint="eastAsia" w:ascii="宋体" w:hAnsi="宋体" w:eastAsia="宋体" w:cs="宋体"/>
          <w:b/>
          <w:bCs/>
          <w:highlight w:val="none"/>
          <w:lang w:val="en-US" w:eastAsia="zh-CN"/>
        </w:rPr>
        <w:t>6.2.</w:t>
      </w:r>
      <w:r>
        <w:rPr>
          <w:rFonts w:hint="eastAsia" w:ascii="宋体" w:hAnsi="宋体" w:cs="宋体"/>
          <w:b/>
          <w:bCs/>
          <w:highlight w:val="none"/>
          <w:lang w:val="en-US" w:eastAsia="zh-CN"/>
        </w:rPr>
        <w:t>2</w:t>
      </w:r>
      <w:r>
        <w:rPr>
          <w:rFonts w:hint="eastAsia" w:ascii="黑体" w:hAnsi="黑体" w:eastAsia="黑体" w:cs="黑体"/>
          <w:highlight w:val="none"/>
          <w:lang w:val="en-US" w:eastAsia="zh-CN"/>
        </w:rPr>
        <w:t>物探、钻井、录井、测井、井下作业、海油工程</w:t>
      </w:r>
    </w:p>
    <w:p w14:paraId="78D34887">
      <w:pPr>
        <w:pStyle w:val="27"/>
        <w:rPr>
          <w:rFonts w:hint="eastAsia"/>
          <w:highlight w:val="none"/>
        </w:rPr>
      </w:pPr>
      <w:r>
        <w:rPr>
          <w:rFonts w:hint="eastAsia"/>
          <w:highlight w:val="none"/>
        </w:rPr>
        <w:t>主要内容至少包括：</w:t>
      </w:r>
    </w:p>
    <w:p w14:paraId="25D2A89B">
      <w:pPr>
        <w:numPr>
          <w:ilvl w:val="0"/>
          <w:numId w:val="27"/>
        </w:numPr>
        <w:spacing w:line="240" w:lineRule="auto"/>
        <w:rPr>
          <w:rFonts w:ascii="宋体" w:hAnsi="Times New Roman"/>
          <w:highlight w:val="none"/>
        </w:rPr>
      </w:pPr>
      <w:r>
        <w:rPr>
          <w:rFonts w:hint="eastAsia" w:ascii="宋体" w:hAnsi="Times New Roman"/>
          <w:highlight w:val="none"/>
        </w:rPr>
        <w:t>海洋石油</w:t>
      </w:r>
      <w:r>
        <w:rPr>
          <w:rFonts w:hint="eastAsia" w:ascii="宋体"/>
          <w:highlight w:val="none"/>
          <w:lang w:val="en-US" w:eastAsia="zh-CN"/>
        </w:rPr>
        <w:t>天然气</w:t>
      </w:r>
      <w:r>
        <w:rPr>
          <w:rFonts w:hint="eastAsia" w:ascii="宋体" w:hAnsi="Times New Roman"/>
          <w:highlight w:val="none"/>
        </w:rPr>
        <w:t>作业</w:t>
      </w:r>
      <w:r>
        <w:rPr>
          <w:rFonts w:hint="eastAsia" w:ascii="宋体"/>
          <w:highlight w:val="none"/>
          <w:lang w:val="en-US" w:eastAsia="zh-CN"/>
        </w:rPr>
        <w:t>施工流程</w:t>
      </w:r>
      <w:r>
        <w:rPr>
          <w:rFonts w:hint="eastAsia" w:ascii="宋体" w:hAnsi="Times New Roman"/>
          <w:highlight w:val="none"/>
        </w:rPr>
        <w:t>；</w:t>
      </w:r>
    </w:p>
    <w:p w14:paraId="68998D7B">
      <w:pPr>
        <w:numPr>
          <w:ilvl w:val="0"/>
          <w:numId w:val="27"/>
        </w:numPr>
        <w:spacing w:line="240" w:lineRule="auto"/>
        <w:rPr>
          <w:rFonts w:ascii="宋体" w:hAnsi="Times New Roman"/>
          <w:highlight w:val="none"/>
        </w:rPr>
      </w:pPr>
      <w:r>
        <w:rPr>
          <w:rFonts w:hint="eastAsia" w:ascii="宋体" w:hAnsi="Times New Roman"/>
          <w:highlight w:val="none"/>
        </w:rPr>
        <w:t>海洋石油作业设施、专业设备及</w:t>
      </w:r>
      <w:r>
        <w:rPr>
          <w:rFonts w:hint="eastAsia" w:ascii="宋体"/>
          <w:highlight w:val="none"/>
          <w:lang w:val="en-US" w:eastAsia="zh-CN"/>
        </w:rPr>
        <w:t>其他</w:t>
      </w:r>
      <w:r>
        <w:rPr>
          <w:rFonts w:hint="eastAsia" w:ascii="宋体" w:hAnsi="Times New Roman"/>
          <w:highlight w:val="none"/>
        </w:rPr>
        <w:t>工具；</w:t>
      </w:r>
    </w:p>
    <w:p w14:paraId="4054C50D">
      <w:pPr>
        <w:numPr>
          <w:ilvl w:val="0"/>
          <w:numId w:val="27"/>
        </w:numPr>
        <w:spacing w:line="240" w:lineRule="auto"/>
        <w:rPr>
          <w:rFonts w:ascii="宋体" w:hAnsi="Times New Roman"/>
          <w:highlight w:val="none"/>
        </w:rPr>
      </w:pPr>
      <w:r>
        <w:rPr>
          <w:rFonts w:hint="eastAsia" w:ascii="宋体" w:hAnsi="Times New Roman"/>
          <w:highlight w:val="none"/>
        </w:rPr>
        <w:t>海洋石油</w:t>
      </w:r>
      <w:r>
        <w:rPr>
          <w:rFonts w:hint="eastAsia" w:ascii="宋体"/>
          <w:highlight w:val="none"/>
          <w:lang w:val="en-US" w:eastAsia="zh-CN"/>
        </w:rPr>
        <w:t>天然气</w:t>
      </w:r>
      <w:r>
        <w:rPr>
          <w:rFonts w:hint="eastAsia" w:ascii="宋体" w:hAnsi="Times New Roman"/>
          <w:highlight w:val="none"/>
        </w:rPr>
        <w:t>作业队伍。</w:t>
      </w:r>
    </w:p>
    <w:p w14:paraId="1B71B231">
      <w:pPr>
        <w:snapToGrid w:val="0"/>
        <w:spacing w:before="156" w:beforeLines="50" w:after="156" w:afterLines="50"/>
        <w:outlineLvl w:val="1"/>
        <w:rPr>
          <w:rFonts w:hint="default" w:ascii="黑体" w:hAnsi="黑体" w:eastAsia="黑体" w:cs="黑体"/>
          <w:bCs/>
          <w:color w:val="000000"/>
          <w:szCs w:val="21"/>
          <w:highlight w:val="none"/>
          <w:lang w:val="en-US" w:eastAsia="zh-CN"/>
        </w:rPr>
      </w:pPr>
      <w:bookmarkStart w:id="97" w:name="_Toc12241"/>
      <w:r>
        <w:rPr>
          <w:rFonts w:hint="eastAsia" w:ascii="黑体" w:hAnsi="黑体" w:eastAsia="黑体" w:cs="黑体"/>
          <w:bCs/>
          <w:color w:val="000000"/>
          <w:szCs w:val="21"/>
          <w:highlight w:val="none"/>
          <w:lang w:val="en-US" w:eastAsia="zh-CN"/>
        </w:rPr>
        <w:t>6.3生产安全事故情况</w:t>
      </w:r>
      <w:bookmarkEnd w:id="97"/>
    </w:p>
    <w:p w14:paraId="0522A83B">
      <w:pPr>
        <w:pStyle w:val="27"/>
        <w:rPr>
          <w:highlight w:val="none"/>
        </w:rPr>
      </w:pPr>
      <w:r>
        <w:rPr>
          <w:rFonts w:hint="eastAsia"/>
          <w:highlight w:val="none"/>
          <w:lang w:val="en-US" w:eastAsia="zh-CN"/>
        </w:rPr>
        <w:t>应说明评价对象</w:t>
      </w:r>
      <w:r>
        <w:rPr>
          <w:rFonts w:hint="eastAsia"/>
          <w:highlight w:val="none"/>
        </w:rPr>
        <w:t>发生的生产安全事故情况。</w:t>
      </w:r>
    </w:p>
    <w:p w14:paraId="4192E387">
      <w:pPr>
        <w:pStyle w:val="73"/>
        <w:adjustRightInd w:val="0"/>
        <w:snapToGrid w:val="0"/>
        <w:spacing w:before="326" w:beforeLines="100" w:after="326" w:afterLines="100"/>
        <w:outlineLvl w:val="0"/>
        <w:rPr>
          <w:rFonts w:hint="default" w:ascii="黑体" w:hAnsi="黑体" w:eastAsia="黑体" w:cs="黑体"/>
          <w:bCs/>
          <w:color w:val="000000"/>
          <w:szCs w:val="21"/>
          <w:highlight w:val="none"/>
          <w:lang w:val="en-US" w:eastAsia="zh-CN"/>
        </w:rPr>
      </w:pPr>
      <w:bookmarkStart w:id="98" w:name="_Toc3535"/>
      <w:r>
        <w:rPr>
          <w:rFonts w:hint="eastAsia" w:ascii="黑体" w:hAnsi="黑体" w:eastAsia="黑体" w:cs="黑体"/>
          <w:bCs/>
          <w:color w:val="000000"/>
          <w:szCs w:val="21"/>
          <w:highlight w:val="none"/>
          <w:lang w:val="en-US" w:eastAsia="zh-CN"/>
        </w:rPr>
        <w:t>评价单元划分</w:t>
      </w:r>
      <w:r>
        <w:rPr>
          <w:rFonts w:hint="eastAsia" w:hAnsi="黑体" w:cs="黑体"/>
          <w:bCs/>
          <w:color w:val="000000"/>
          <w:szCs w:val="21"/>
          <w:highlight w:val="none"/>
          <w:lang w:val="en-US" w:eastAsia="zh-CN"/>
        </w:rPr>
        <w:t>与</w:t>
      </w:r>
      <w:r>
        <w:rPr>
          <w:rFonts w:hint="eastAsia" w:ascii="黑体" w:hAnsi="黑体" w:eastAsia="黑体" w:cs="黑体"/>
          <w:bCs/>
          <w:color w:val="000000"/>
          <w:szCs w:val="21"/>
          <w:highlight w:val="none"/>
          <w:lang w:val="en-US" w:eastAsia="zh-CN"/>
        </w:rPr>
        <w:t>评价方法选择</w:t>
      </w:r>
      <w:bookmarkEnd w:id="98"/>
    </w:p>
    <w:p w14:paraId="5F2513FB">
      <w:pPr>
        <w:snapToGrid w:val="0"/>
        <w:spacing w:before="156" w:beforeLines="50" w:after="156" w:afterLines="50"/>
        <w:outlineLvl w:val="1"/>
        <w:rPr>
          <w:rFonts w:hint="default" w:ascii="黑体" w:hAnsi="黑体" w:eastAsia="黑体" w:cs="黑体"/>
          <w:highlight w:val="none"/>
          <w:lang w:val="en-US" w:eastAsia="zh-CN"/>
        </w:rPr>
      </w:pPr>
      <w:bookmarkStart w:id="99" w:name="_Toc28968"/>
      <w:r>
        <w:rPr>
          <w:rFonts w:hint="eastAsia" w:ascii="宋体" w:hAnsi="宋体" w:eastAsia="宋体" w:cs="宋体"/>
          <w:b/>
          <w:bCs/>
          <w:highlight w:val="none"/>
          <w:lang w:val="en-US" w:eastAsia="zh-CN"/>
        </w:rPr>
        <w:t>7.1</w:t>
      </w:r>
      <w:r>
        <w:rPr>
          <w:rFonts w:hint="eastAsia" w:ascii="黑体" w:hAnsi="黑体" w:eastAsia="黑体" w:cs="黑体"/>
          <w:highlight w:val="none"/>
          <w:lang w:val="en-US" w:eastAsia="zh-CN"/>
        </w:rPr>
        <w:t>评价单元划分</w:t>
      </w:r>
      <w:bookmarkEnd w:id="99"/>
    </w:p>
    <w:p w14:paraId="6B4BDC11">
      <w:pPr>
        <w:pStyle w:val="147"/>
        <w:ind w:firstLine="420"/>
        <w:rPr>
          <w:highlight w:val="none"/>
        </w:rPr>
      </w:pPr>
      <w:r>
        <w:rPr>
          <w:rFonts w:hint="eastAsia"/>
          <w:highlight w:val="none"/>
        </w:rPr>
        <w:t>评价单元的划分应能够保证安全现状评价的顺利实施。按照评价对象特点，一般划分为以下几个单元：</w:t>
      </w:r>
    </w:p>
    <w:p w14:paraId="58D20AE8">
      <w:pPr>
        <w:pStyle w:val="145"/>
        <w:numPr>
          <w:ilvl w:val="0"/>
          <w:numId w:val="28"/>
        </w:numPr>
        <w:tabs>
          <w:tab w:val="left" w:pos="839"/>
        </w:tabs>
        <w:rPr>
          <w:highlight w:val="none"/>
        </w:rPr>
      </w:pPr>
      <w:r>
        <w:rPr>
          <w:rFonts w:hint="eastAsia"/>
          <w:highlight w:val="none"/>
        </w:rPr>
        <w:t>设备设施</w:t>
      </w:r>
      <w:r>
        <w:rPr>
          <w:rFonts w:hint="eastAsia"/>
          <w:highlight w:val="none"/>
          <w:lang w:val="en-US" w:eastAsia="zh-CN"/>
        </w:rPr>
        <w:t>单元；</w:t>
      </w:r>
    </w:p>
    <w:p w14:paraId="07F9240A">
      <w:pPr>
        <w:pStyle w:val="145"/>
        <w:numPr>
          <w:ilvl w:val="0"/>
          <w:numId w:val="28"/>
        </w:numPr>
        <w:tabs>
          <w:tab w:val="left" w:pos="839"/>
        </w:tabs>
        <w:rPr>
          <w:highlight w:val="none"/>
        </w:rPr>
      </w:pPr>
      <w:r>
        <w:rPr>
          <w:rFonts w:hint="eastAsia"/>
          <w:highlight w:val="none"/>
        </w:rPr>
        <w:t>生产作业</w:t>
      </w:r>
      <w:r>
        <w:rPr>
          <w:rFonts w:hint="eastAsia"/>
          <w:highlight w:val="none"/>
          <w:lang w:val="en-US" w:eastAsia="zh-CN"/>
        </w:rPr>
        <w:t>活动</w:t>
      </w:r>
      <w:r>
        <w:rPr>
          <w:rFonts w:hint="eastAsia"/>
          <w:highlight w:val="none"/>
        </w:rPr>
        <w:t>单元；</w:t>
      </w:r>
    </w:p>
    <w:p w14:paraId="46C369CF">
      <w:pPr>
        <w:pStyle w:val="145"/>
        <w:numPr>
          <w:ilvl w:val="0"/>
          <w:numId w:val="28"/>
        </w:numPr>
        <w:tabs>
          <w:tab w:val="left" w:pos="839"/>
        </w:tabs>
        <w:rPr>
          <w:highlight w:val="none"/>
        </w:rPr>
      </w:pPr>
      <w:r>
        <w:rPr>
          <w:rFonts w:hint="eastAsia"/>
          <w:highlight w:val="none"/>
        </w:rPr>
        <w:t>安全管理单元。</w:t>
      </w:r>
    </w:p>
    <w:p w14:paraId="4BBE63AF">
      <w:pPr>
        <w:pStyle w:val="147"/>
        <w:ind w:firstLine="420"/>
        <w:rPr>
          <w:highlight w:val="none"/>
        </w:rPr>
      </w:pPr>
      <w:r>
        <w:rPr>
          <w:rFonts w:hint="eastAsia"/>
          <w:highlight w:val="none"/>
        </w:rPr>
        <w:t>根据评价单元具体情况和特点可进一步划分子单元。</w:t>
      </w:r>
    </w:p>
    <w:p w14:paraId="6BD3D288">
      <w:pPr>
        <w:snapToGrid w:val="0"/>
        <w:spacing w:before="156" w:beforeLines="50" w:after="156" w:afterLines="50"/>
        <w:outlineLvl w:val="1"/>
        <w:rPr>
          <w:rFonts w:hint="eastAsia" w:ascii="黑体" w:hAnsi="黑体" w:eastAsia="黑体" w:cs="黑体"/>
          <w:highlight w:val="none"/>
          <w:lang w:val="en-US" w:eastAsia="zh-CN"/>
        </w:rPr>
      </w:pPr>
      <w:bookmarkStart w:id="100" w:name="_Toc11285"/>
      <w:r>
        <w:rPr>
          <w:rFonts w:hint="eastAsia" w:ascii="宋体" w:hAnsi="宋体" w:eastAsia="宋体" w:cs="宋体"/>
          <w:b/>
          <w:bCs/>
          <w:highlight w:val="none"/>
          <w:lang w:val="en-US" w:eastAsia="zh-CN"/>
        </w:rPr>
        <w:t>7.2</w:t>
      </w:r>
      <w:r>
        <w:rPr>
          <w:rFonts w:hint="eastAsia" w:ascii="黑体" w:hAnsi="黑体" w:eastAsia="黑体" w:cs="黑体"/>
          <w:highlight w:val="none"/>
          <w:lang w:val="en-US" w:eastAsia="zh-CN"/>
        </w:rPr>
        <w:t>评价方法选择</w:t>
      </w:r>
      <w:bookmarkEnd w:id="100"/>
    </w:p>
    <w:p w14:paraId="21302A4D">
      <w:pPr>
        <w:pStyle w:val="147"/>
        <w:ind w:firstLine="420"/>
        <w:rPr>
          <w:rFonts w:hint="eastAsia"/>
          <w:highlight w:val="none"/>
        </w:rPr>
      </w:pPr>
      <w:r>
        <w:rPr>
          <w:rFonts w:hint="eastAsia"/>
          <w:highlight w:val="none"/>
          <w:lang w:val="en-US" w:eastAsia="zh-CN"/>
        </w:rPr>
        <w:t>应</w:t>
      </w:r>
      <w:r>
        <w:rPr>
          <w:rFonts w:hint="eastAsia"/>
          <w:highlight w:val="none"/>
        </w:rPr>
        <w:t>根据</w:t>
      </w:r>
      <w:r>
        <w:rPr>
          <w:rFonts w:hint="eastAsia"/>
          <w:highlight w:val="none"/>
          <w:lang w:val="en-US" w:eastAsia="zh-CN"/>
        </w:rPr>
        <w:t>评价对象</w:t>
      </w:r>
      <w:r>
        <w:rPr>
          <w:rFonts w:hint="eastAsia"/>
          <w:highlight w:val="none"/>
        </w:rPr>
        <w:t>的特征，结合每个评价单元特点，选择合理、适用的定性或定量评价方法</w:t>
      </w:r>
      <w:r>
        <w:rPr>
          <w:rFonts w:hint="eastAsia"/>
          <w:highlight w:val="none"/>
          <w:lang w:eastAsia="zh-CN"/>
        </w:rPr>
        <w:t>。</w:t>
      </w:r>
      <w:r>
        <w:rPr>
          <w:rFonts w:hint="eastAsia"/>
          <w:highlight w:val="none"/>
        </w:rPr>
        <w:t>常用的安全</w:t>
      </w:r>
      <w:r>
        <w:rPr>
          <w:rFonts w:hint="eastAsia"/>
          <w:highlight w:val="none"/>
          <w:lang w:val="en-US" w:eastAsia="zh-CN"/>
        </w:rPr>
        <w:t>现状</w:t>
      </w:r>
      <w:r>
        <w:rPr>
          <w:rFonts w:hint="eastAsia"/>
          <w:highlight w:val="none"/>
        </w:rPr>
        <w:t>评价方法</w:t>
      </w:r>
      <w:r>
        <w:rPr>
          <w:rFonts w:hint="eastAsia"/>
          <w:highlight w:val="none"/>
          <w:lang w:val="en-US" w:eastAsia="zh-CN"/>
        </w:rPr>
        <w:t>参照</w:t>
      </w:r>
      <w:r>
        <w:rPr>
          <w:rFonts w:hint="eastAsia"/>
          <w:highlight w:val="none"/>
        </w:rPr>
        <w:t>附录</w:t>
      </w:r>
      <w:r>
        <w:rPr>
          <w:rFonts w:hint="eastAsia"/>
          <w:highlight w:val="none"/>
          <w:lang w:val="en-US" w:eastAsia="zh-CN"/>
        </w:rPr>
        <w:t>B</w:t>
      </w:r>
      <w:r>
        <w:rPr>
          <w:rFonts w:hint="eastAsia"/>
          <w:highlight w:val="none"/>
        </w:rPr>
        <w:t>。</w:t>
      </w:r>
    </w:p>
    <w:p w14:paraId="00C82ADA">
      <w:pPr>
        <w:pStyle w:val="73"/>
        <w:adjustRightInd w:val="0"/>
        <w:snapToGrid w:val="0"/>
        <w:spacing w:before="326" w:beforeLines="100" w:after="326" w:afterLines="100"/>
        <w:outlineLvl w:val="0"/>
        <w:rPr>
          <w:rFonts w:hint="default" w:ascii="黑体" w:hAnsi="黑体" w:eastAsia="黑体" w:cs="黑体"/>
          <w:bCs/>
          <w:color w:val="000000"/>
          <w:szCs w:val="21"/>
          <w:highlight w:val="none"/>
          <w:lang w:val="en-US" w:eastAsia="zh-CN"/>
        </w:rPr>
      </w:pPr>
      <w:bookmarkStart w:id="101" w:name="_Toc30098"/>
      <w:r>
        <w:rPr>
          <w:rFonts w:hint="eastAsia" w:hAnsi="黑体" w:cs="黑体"/>
          <w:bCs/>
          <w:color w:val="000000"/>
          <w:szCs w:val="21"/>
          <w:highlight w:val="none"/>
          <w:lang w:val="en-US" w:eastAsia="zh-CN"/>
        </w:rPr>
        <w:t>危险有害因素辨识与分析</w:t>
      </w:r>
      <w:bookmarkEnd w:id="101"/>
    </w:p>
    <w:p w14:paraId="7DD14F18">
      <w:pPr>
        <w:snapToGrid w:val="0"/>
        <w:spacing w:before="156" w:beforeLines="50" w:after="156" w:afterLines="50"/>
        <w:outlineLvl w:val="1"/>
        <w:rPr>
          <w:rFonts w:hint="default" w:ascii="黑体" w:hAnsi="黑体" w:eastAsia="黑体" w:cs="黑体"/>
          <w:highlight w:val="none"/>
          <w:lang w:val="en-US" w:eastAsia="zh-CN"/>
        </w:rPr>
      </w:pPr>
      <w:bookmarkStart w:id="102" w:name="_Toc28344"/>
      <w:r>
        <w:rPr>
          <w:rFonts w:hint="eastAsia" w:ascii="宋体" w:hAnsi="宋体" w:eastAsia="宋体" w:cs="宋体"/>
          <w:b/>
          <w:bCs/>
          <w:highlight w:val="none"/>
          <w:lang w:val="en-US" w:eastAsia="zh-CN"/>
        </w:rPr>
        <w:t>8.1</w:t>
      </w:r>
      <w:r>
        <w:rPr>
          <w:rFonts w:hint="eastAsia" w:ascii="黑体" w:hAnsi="黑体" w:eastAsia="黑体" w:cs="黑体"/>
          <w:highlight w:val="none"/>
          <w:lang w:val="en-US" w:eastAsia="zh-CN"/>
        </w:rPr>
        <w:t>危险有害物质辨识</w:t>
      </w:r>
      <w:bookmarkEnd w:id="102"/>
    </w:p>
    <w:p w14:paraId="01A22B85">
      <w:pPr>
        <w:pStyle w:val="147"/>
        <w:ind w:firstLine="420"/>
        <w:rPr>
          <w:rFonts w:hint="eastAsia" w:eastAsia="宋体"/>
          <w:highlight w:val="none"/>
          <w:lang w:eastAsia="zh-CN"/>
        </w:rPr>
      </w:pPr>
      <w:r>
        <w:rPr>
          <w:rFonts w:hint="eastAsia"/>
          <w:highlight w:val="none"/>
        </w:rPr>
        <w:t>根据</w:t>
      </w:r>
      <w:r>
        <w:rPr>
          <w:rFonts w:hint="eastAsia"/>
          <w:highlight w:val="none"/>
          <w:lang w:val="en-US" w:eastAsia="zh-CN"/>
        </w:rPr>
        <w:t>评价对象</w:t>
      </w:r>
      <w:r>
        <w:rPr>
          <w:rFonts w:hint="eastAsia"/>
          <w:highlight w:val="none"/>
        </w:rPr>
        <w:t>实际情况，辨识</w:t>
      </w:r>
      <w:r>
        <w:rPr>
          <w:rFonts w:hint="eastAsia"/>
          <w:highlight w:val="none"/>
          <w:lang w:val="en-US" w:eastAsia="zh-CN"/>
        </w:rPr>
        <w:t>评价对象</w:t>
      </w:r>
      <w:r>
        <w:rPr>
          <w:rFonts w:hint="eastAsia"/>
          <w:highlight w:val="none"/>
        </w:rPr>
        <w:t>涉及的危险有害物质，</w:t>
      </w:r>
      <w:r>
        <w:rPr>
          <w:rFonts w:hint="eastAsia"/>
          <w:highlight w:val="none"/>
          <w:lang w:val="en-US" w:eastAsia="zh-CN"/>
        </w:rPr>
        <w:t>说明</w:t>
      </w:r>
      <w:r>
        <w:rPr>
          <w:rFonts w:hint="eastAsia"/>
          <w:highlight w:val="none"/>
        </w:rPr>
        <w:t>危险有害物质的危险特性</w:t>
      </w:r>
      <w:r>
        <w:rPr>
          <w:rFonts w:hint="eastAsia"/>
          <w:highlight w:val="none"/>
          <w:lang w:eastAsia="zh-CN"/>
        </w:rPr>
        <w:t>。</w:t>
      </w:r>
    </w:p>
    <w:p w14:paraId="70174F6A">
      <w:pPr>
        <w:snapToGrid w:val="0"/>
        <w:spacing w:before="156" w:beforeLines="50" w:after="156" w:afterLines="50"/>
        <w:outlineLvl w:val="1"/>
        <w:rPr>
          <w:rFonts w:hint="default" w:ascii="黑体" w:hAnsi="黑体" w:eastAsia="黑体" w:cs="黑体"/>
          <w:highlight w:val="none"/>
          <w:lang w:val="en-US" w:eastAsia="zh-CN"/>
        </w:rPr>
      </w:pPr>
      <w:bookmarkStart w:id="103" w:name="_Toc29984"/>
      <w:r>
        <w:rPr>
          <w:rFonts w:hint="eastAsia" w:ascii="宋体" w:hAnsi="宋体" w:eastAsia="宋体" w:cs="宋体"/>
          <w:b/>
          <w:bCs/>
          <w:highlight w:val="none"/>
          <w:lang w:val="en-US" w:eastAsia="zh-CN"/>
        </w:rPr>
        <w:t>8.2</w:t>
      </w:r>
      <w:r>
        <w:rPr>
          <w:rFonts w:hint="eastAsia" w:ascii="黑体" w:hAnsi="黑体" w:eastAsia="黑体" w:cs="黑体"/>
          <w:highlight w:val="none"/>
          <w:lang w:val="en-US" w:eastAsia="zh-CN"/>
        </w:rPr>
        <w:t>设备设施及生产作业活动危险有害因素辨识与分析</w:t>
      </w:r>
      <w:bookmarkEnd w:id="103"/>
    </w:p>
    <w:p w14:paraId="5CF0042B">
      <w:pPr>
        <w:pStyle w:val="147"/>
        <w:ind w:firstLine="420"/>
        <w:rPr>
          <w:rFonts w:hint="eastAsia"/>
          <w:lang w:val="en-US" w:eastAsia="zh-CN"/>
        </w:rPr>
      </w:pPr>
      <w:r>
        <w:rPr>
          <w:rFonts w:hint="eastAsia"/>
          <w:highlight w:val="none"/>
        </w:rPr>
        <w:t>主要内容包括：</w:t>
      </w:r>
    </w:p>
    <w:p w14:paraId="659419E0">
      <w:pPr>
        <w:pStyle w:val="145"/>
        <w:numPr>
          <w:ilvl w:val="0"/>
          <w:numId w:val="29"/>
        </w:numPr>
        <w:tabs>
          <w:tab w:val="left" w:pos="839"/>
        </w:tabs>
        <w:rPr>
          <w:rFonts w:hint="eastAsia"/>
          <w:highlight w:val="none"/>
        </w:rPr>
      </w:pPr>
      <w:r>
        <w:rPr>
          <w:rFonts w:hint="eastAsia"/>
          <w:highlight w:val="none"/>
        </w:rPr>
        <w:t>根据生产设施和作业设施特点对油气泄漏、火灾爆炸、井喷失控等</w:t>
      </w:r>
      <w:r>
        <w:rPr>
          <w:rFonts w:hint="eastAsia"/>
          <w:highlight w:val="none"/>
          <w:lang w:val="en-US" w:eastAsia="zh-CN"/>
        </w:rPr>
        <w:t>危险有害因素</w:t>
      </w:r>
      <w:r>
        <w:rPr>
          <w:rFonts w:hint="eastAsia"/>
          <w:highlight w:val="none"/>
        </w:rPr>
        <w:t>进行辨识</w:t>
      </w:r>
      <w:r>
        <w:rPr>
          <w:rFonts w:hint="eastAsia"/>
          <w:highlight w:val="none"/>
          <w:lang w:val="en-US" w:eastAsia="zh-CN"/>
        </w:rPr>
        <w:t>与分析</w:t>
      </w:r>
      <w:r>
        <w:rPr>
          <w:rFonts w:hint="eastAsia"/>
          <w:highlight w:val="none"/>
          <w:lang w:eastAsia="zh-CN"/>
        </w:rPr>
        <w:t>；</w:t>
      </w:r>
    </w:p>
    <w:p w14:paraId="4863E4B4">
      <w:pPr>
        <w:pStyle w:val="145"/>
        <w:numPr>
          <w:ilvl w:val="0"/>
          <w:numId w:val="29"/>
        </w:numPr>
        <w:tabs>
          <w:tab w:val="left" w:pos="839"/>
        </w:tabs>
        <w:rPr>
          <w:rFonts w:hint="eastAsia"/>
          <w:highlight w:val="none"/>
        </w:rPr>
      </w:pPr>
      <w:r>
        <w:rPr>
          <w:rFonts w:hint="eastAsia"/>
          <w:highlight w:val="none"/>
        </w:rPr>
        <w:t>根据海上采油（气）</w:t>
      </w:r>
      <w:r>
        <w:rPr>
          <w:rFonts w:hint="eastAsia"/>
          <w:highlight w:val="none"/>
          <w:lang w:eastAsia="zh-CN"/>
        </w:rPr>
        <w:t>、</w:t>
      </w:r>
      <w:r>
        <w:rPr>
          <w:rFonts w:hint="eastAsia"/>
          <w:highlight w:val="none"/>
        </w:rPr>
        <w:t>管道运输</w:t>
      </w:r>
      <w:r>
        <w:rPr>
          <w:rFonts w:hint="eastAsia"/>
          <w:highlight w:val="none"/>
          <w:lang w:eastAsia="zh-CN"/>
        </w:rPr>
        <w:t>、</w:t>
      </w:r>
      <w:r>
        <w:rPr>
          <w:rFonts w:hint="eastAsia"/>
          <w:highlight w:val="none"/>
        </w:rPr>
        <w:t>物探、钻井、录井、测井、井下作业</w:t>
      </w:r>
      <w:r>
        <w:rPr>
          <w:rFonts w:hint="eastAsia"/>
          <w:highlight w:val="none"/>
          <w:lang w:val="en-US" w:eastAsia="zh-CN"/>
        </w:rPr>
        <w:t>及</w:t>
      </w:r>
      <w:r>
        <w:rPr>
          <w:rFonts w:hint="eastAsia"/>
          <w:highlight w:val="none"/>
        </w:rPr>
        <w:t>海油工程等生产作业过程特点</w:t>
      </w:r>
      <w:r>
        <w:rPr>
          <w:rFonts w:hint="eastAsia"/>
          <w:highlight w:val="none"/>
          <w:lang w:val="en-US" w:eastAsia="zh-CN"/>
        </w:rPr>
        <w:t>对涉及的</w:t>
      </w:r>
      <w:r>
        <w:rPr>
          <w:rFonts w:hint="eastAsia"/>
          <w:highlight w:val="none"/>
        </w:rPr>
        <w:t>主要危险作业</w:t>
      </w:r>
      <w:r>
        <w:rPr>
          <w:rFonts w:hint="eastAsia"/>
          <w:highlight w:val="none"/>
          <w:lang w:val="en-US" w:eastAsia="zh-CN"/>
        </w:rPr>
        <w:t>进行</w:t>
      </w:r>
      <w:r>
        <w:rPr>
          <w:rFonts w:hint="eastAsia"/>
          <w:highlight w:val="none"/>
        </w:rPr>
        <w:t>辨识与分析</w:t>
      </w:r>
      <w:r>
        <w:rPr>
          <w:rFonts w:hint="eastAsia"/>
          <w:highlight w:val="none"/>
          <w:lang w:eastAsia="zh-CN"/>
        </w:rPr>
        <w:t>；</w:t>
      </w:r>
    </w:p>
    <w:p w14:paraId="2C4FA66D">
      <w:pPr>
        <w:pStyle w:val="145"/>
        <w:numPr>
          <w:ilvl w:val="0"/>
          <w:numId w:val="29"/>
        </w:numPr>
        <w:tabs>
          <w:tab w:val="left" w:pos="839"/>
        </w:tabs>
        <w:rPr>
          <w:rFonts w:hint="eastAsia"/>
          <w:highlight w:val="none"/>
        </w:rPr>
      </w:pPr>
      <w:r>
        <w:rPr>
          <w:rFonts w:hint="eastAsia"/>
          <w:highlight w:val="none"/>
          <w:lang w:val="en-US" w:eastAsia="zh-CN"/>
        </w:rPr>
        <w:t>根据评价对象的作业区域，对涉及的海域</w:t>
      </w:r>
      <w:r>
        <w:rPr>
          <w:rFonts w:hint="eastAsia"/>
          <w:highlight w:val="none"/>
        </w:rPr>
        <w:t>自然和海洋环境</w:t>
      </w:r>
      <w:r>
        <w:rPr>
          <w:rFonts w:hint="eastAsia"/>
          <w:highlight w:val="none"/>
          <w:lang w:val="en-US" w:eastAsia="zh-CN"/>
        </w:rPr>
        <w:t>危险有害因素进行</w:t>
      </w:r>
      <w:r>
        <w:rPr>
          <w:rFonts w:hint="eastAsia"/>
          <w:highlight w:val="none"/>
        </w:rPr>
        <w:t>辨识</w:t>
      </w:r>
      <w:r>
        <w:rPr>
          <w:rFonts w:hint="eastAsia"/>
          <w:highlight w:val="none"/>
          <w:lang w:val="en-US" w:eastAsia="zh-CN"/>
        </w:rPr>
        <w:t>与分析</w:t>
      </w:r>
      <w:r>
        <w:rPr>
          <w:rFonts w:hint="eastAsia"/>
          <w:highlight w:val="none"/>
        </w:rPr>
        <w:t>。</w:t>
      </w:r>
    </w:p>
    <w:p w14:paraId="5D65C605">
      <w:pPr>
        <w:snapToGrid w:val="0"/>
        <w:spacing w:before="156" w:beforeLines="50" w:after="156" w:afterLines="50"/>
        <w:outlineLvl w:val="1"/>
        <w:rPr>
          <w:rFonts w:hint="default" w:ascii="黑体" w:hAnsi="黑体" w:eastAsia="黑体" w:cs="黑体"/>
          <w:highlight w:val="none"/>
          <w:lang w:val="en-US" w:eastAsia="zh-CN"/>
        </w:rPr>
      </w:pPr>
      <w:bookmarkStart w:id="104" w:name="_Toc29773"/>
      <w:r>
        <w:rPr>
          <w:rFonts w:hint="eastAsia" w:ascii="宋体" w:hAnsi="宋体" w:eastAsia="宋体" w:cs="宋体"/>
          <w:b/>
          <w:bCs/>
          <w:highlight w:val="none"/>
          <w:lang w:val="en-US" w:eastAsia="zh-CN"/>
        </w:rPr>
        <w:t>8.3</w:t>
      </w:r>
      <w:r>
        <w:rPr>
          <w:rFonts w:hint="eastAsia" w:ascii="黑体" w:hAnsi="黑体" w:eastAsia="黑体" w:cs="黑体"/>
          <w:highlight w:val="none"/>
          <w:lang w:val="en-US" w:eastAsia="zh-CN"/>
        </w:rPr>
        <w:t>安全管理危险有害因素辨识与分析</w:t>
      </w:r>
      <w:bookmarkEnd w:id="104"/>
    </w:p>
    <w:p w14:paraId="69A1DEDD">
      <w:pPr>
        <w:pStyle w:val="147"/>
        <w:ind w:firstLine="420"/>
        <w:rPr>
          <w:rFonts w:hint="eastAsia"/>
          <w:highlight w:val="none"/>
        </w:rPr>
      </w:pPr>
      <w:r>
        <w:rPr>
          <w:rFonts w:hint="eastAsia"/>
          <w:highlight w:val="none"/>
          <w:lang w:val="en-US" w:eastAsia="zh-CN"/>
        </w:rPr>
        <w:t>对评价对象安全管理和应急管理进行危险有害因素辨识与分析。</w:t>
      </w:r>
    </w:p>
    <w:p w14:paraId="13A3B186">
      <w:pPr>
        <w:pStyle w:val="73"/>
        <w:adjustRightInd w:val="0"/>
        <w:snapToGrid w:val="0"/>
        <w:spacing w:before="326" w:beforeLines="100" w:after="326" w:afterLines="100"/>
        <w:outlineLvl w:val="0"/>
        <w:rPr>
          <w:rFonts w:hint="eastAsia" w:ascii="黑体" w:hAnsi="黑体" w:eastAsia="黑体" w:cs="黑体"/>
          <w:bCs/>
          <w:color w:val="000000"/>
          <w:szCs w:val="21"/>
          <w:highlight w:val="none"/>
          <w:lang w:val="en-US" w:eastAsia="zh-CN"/>
        </w:rPr>
      </w:pPr>
      <w:bookmarkStart w:id="105" w:name="_Toc145831404"/>
      <w:bookmarkStart w:id="106" w:name="_Toc137034210"/>
      <w:bookmarkStart w:id="107" w:name="_Toc18378"/>
      <w:bookmarkStart w:id="108" w:name="_Toc127776867"/>
      <w:r>
        <w:rPr>
          <w:rFonts w:hint="eastAsia" w:ascii="黑体" w:hAnsi="黑体" w:eastAsia="黑体" w:cs="黑体"/>
          <w:bCs/>
          <w:color w:val="000000"/>
          <w:szCs w:val="21"/>
          <w:highlight w:val="none"/>
          <w:lang w:val="en-US" w:eastAsia="zh-CN"/>
        </w:rPr>
        <w:t>设备设施单元评价</w:t>
      </w:r>
      <w:bookmarkEnd w:id="105"/>
      <w:bookmarkEnd w:id="106"/>
      <w:bookmarkEnd w:id="107"/>
      <w:bookmarkEnd w:id="108"/>
    </w:p>
    <w:p w14:paraId="56AA39A5">
      <w:pPr>
        <w:snapToGrid w:val="0"/>
        <w:spacing w:before="156" w:beforeLines="50" w:after="156" w:afterLines="50"/>
        <w:outlineLvl w:val="1"/>
        <w:rPr>
          <w:rFonts w:hint="default" w:ascii="黑体" w:hAnsi="黑体" w:eastAsia="黑体" w:cs="黑体"/>
          <w:highlight w:val="none"/>
          <w:lang w:val="en-US" w:eastAsia="zh-CN"/>
        </w:rPr>
      </w:pPr>
      <w:bookmarkStart w:id="109" w:name="_Toc442"/>
      <w:r>
        <w:rPr>
          <w:rFonts w:hint="eastAsia" w:ascii="宋体" w:hAnsi="宋体" w:eastAsia="宋体" w:cs="宋体"/>
          <w:b/>
          <w:bCs/>
          <w:highlight w:val="none"/>
          <w:lang w:val="en-US" w:eastAsia="zh-CN"/>
        </w:rPr>
        <w:t>9.</w:t>
      </w:r>
      <w:r>
        <w:rPr>
          <w:rFonts w:hint="eastAsia" w:ascii="宋体" w:hAnsi="宋体" w:cs="宋体"/>
          <w:b/>
          <w:bCs/>
          <w:highlight w:val="none"/>
          <w:lang w:val="en-US" w:eastAsia="zh-CN"/>
        </w:rPr>
        <w:t>1</w:t>
      </w:r>
      <w:r>
        <w:rPr>
          <w:rFonts w:hint="eastAsia" w:ascii="黑体" w:hAnsi="黑体" w:eastAsia="黑体" w:cs="黑体"/>
          <w:highlight w:val="none"/>
          <w:lang w:val="en-US" w:eastAsia="zh-CN"/>
        </w:rPr>
        <w:t>海上采油（气）及管道储运设备设施评价</w:t>
      </w:r>
      <w:bookmarkEnd w:id="109"/>
    </w:p>
    <w:p w14:paraId="3E105D67">
      <w:pPr>
        <w:pStyle w:val="147"/>
        <w:ind w:firstLine="420"/>
        <w:jc w:val="both"/>
        <w:rPr>
          <w:rFonts w:hint="eastAsia"/>
          <w:highlight w:val="none"/>
        </w:rPr>
      </w:pPr>
      <w:r>
        <w:rPr>
          <w:rFonts w:hint="eastAsia"/>
          <w:highlight w:val="none"/>
          <w:lang w:val="en-US" w:eastAsia="zh-CN"/>
        </w:rPr>
        <w:t>对以下内容进行评价</w:t>
      </w:r>
      <w:r>
        <w:rPr>
          <w:rFonts w:hint="eastAsia"/>
          <w:highlight w:val="none"/>
        </w:rPr>
        <w:t>：</w:t>
      </w:r>
    </w:p>
    <w:p w14:paraId="39516659">
      <w:pPr>
        <w:keepNext w:val="0"/>
        <w:keepLines w:val="0"/>
        <w:pageBreakBefore w:val="0"/>
        <w:widowControl/>
        <w:numPr>
          <w:ilvl w:val="0"/>
          <w:numId w:val="30"/>
        </w:numPr>
        <w:kinsoku/>
        <w:wordWrap/>
        <w:overflowPunct/>
        <w:topLinePunct w:val="0"/>
        <w:autoSpaceDE/>
        <w:autoSpaceDN/>
        <w:bidi w:val="0"/>
        <w:adjustRightInd/>
        <w:snapToGrid/>
        <w:spacing w:line="240" w:lineRule="auto"/>
        <w:ind w:left="839" w:hanging="420"/>
        <w:jc w:val="both"/>
        <w:textAlignment w:val="auto"/>
        <w:rPr>
          <w:highlight w:val="none"/>
        </w:rPr>
      </w:pPr>
      <w:r>
        <w:rPr>
          <w:rFonts w:hint="eastAsia"/>
          <w:highlight w:val="none"/>
        </w:rPr>
        <w:t>海上固定平台</w:t>
      </w:r>
      <w:r>
        <w:rPr>
          <w:rFonts w:hint="eastAsia"/>
          <w:highlight w:val="none"/>
          <w:lang w:val="en-US" w:eastAsia="zh-CN"/>
        </w:rPr>
        <w:t>：对</w:t>
      </w:r>
      <w:r>
        <w:rPr>
          <w:rFonts w:hint="eastAsia"/>
          <w:highlight w:val="none"/>
        </w:rPr>
        <w:t>海洋石油生产设施</w:t>
      </w:r>
      <w:r>
        <w:rPr>
          <w:rFonts w:hint="eastAsia"/>
          <w:highlight w:val="none"/>
          <w:lang w:val="en-US" w:eastAsia="zh-CN"/>
        </w:rPr>
        <w:t>发证检验，</w:t>
      </w:r>
      <w:r>
        <w:rPr>
          <w:rFonts w:hint="eastAsia"/>
          <w:highlight w:val="none"/>
          <w:lang w:eastAsia="zh-CN"/>
        </w:rPr>
        <w:t>专业设备检测检验，</w:t>
      </w:r>
      <w:r>
        <w:rPr>
          <w:rFonts w:hint="eastAsia"/>
          <w:highlight w:val="none"/>
        </w:rPr>
        <w:t>总体布置及结构</w:t>
      </w:r>
      <w:r>
        <w:rPr>
          <w:rFonts w:hint="eastAsia"/>
          <w:highlight w:val="none"/>
          <w:lang w:eastAsia="zh-CN"/>
        </w:rPr>
        <w:t>，</w:t>
      </w:r>
      <w:r>
        <w:rPr>
          <w:rFonts w:hint="eastAsia"/>
          <w:highlight w:val="none"/>
        </w:rPr>
        <w:t>油气生产工艺</w:t>
      </w:r>
      <w:r>
        <w:rPr>
          <w:rFonts w:hint="eastAsia"/>
          <w:highlight w:val="none"/>
          <w:lang w:eastAsia="zh-CN"/>
        </w:rPr>
        <w:t>，</w:t>
      </w:r>
      <w:r>
        <w:rPr>
          <w:rFonts w:hint="eastAsia"/>
          <w:highlight w:val="none"/>
          <w:lang w:val="en-US" w:eastAsia="zh-CN"/>
        </w:rPr>
        <w:t>通用</w:t>
      </w:r>
      <w:r>
        <w:rPr>
          <w:rFonts w:hint="eastAsia"/>
          <w:highlight w:val="none"/>
        </w:rPr>
        <w:t>机械设备及管系</w:t>
      </w:r>
      <w:r>
        <w:rPr>
          <w:rFonts w:hint="eastAsia"/>
          <w:highlight w:val="none"/>
          <w:lang w:eastAsia="zh-CN"/>
        </w:rPr>
        <w:t>，</w:t>
      </w:r>
      <w:r>
        <w:rPr>
          <w:rFonts w:hint="eastAsia"/>
          <w:highlight w:val="none"/>
        </w:rPr>
        <w:t>电气设备及电缆</w:t>
      </w:r>
      <w:r>
        <w:rPr>
          <w:rFonts w:hint="eastAsia"/>
          <w:highlight w:val="none"/>
          <w:lang w:eastAsia="zh-CN"/>
        </w:rPr>
        <w:t>，</w:t>
      </w:r>
      <w:r>
        <w:rPr>
          <w:rFonts w:hint="eastAsia"/>
          <w:highlight w:val="none"/>
        </w:rPr>
        <w:t>仪控系统</w:t>
      </w:r>
      <w:r>
        <w:rPr>
          <w:rFonts w:hint="eastAsia"/>
          <w:highlight w:val="none"/>
          <w:lang w:eastAsia="zh-CN"/>
        </w:rPr>
        <w:t>，火灾与可燃、有毒气体探测报警系统，</w:t>
      </w:r>
      <w:r>
        <w:rPr>
          <w:rFonts w:hint="eastAsia"/>
          <w:highlight w:val="none"/>
        </w:rPr>
        <w:t>消防</w:t>
      </w:r>
      <w:r>
        <w:rPr>
          <w:rFonts w:hint="eastAsia"/>
          <w:highlight w:val="none"/>
          <w:lang w:eastAsia="zh-CN"/>
        </w:rPr>
        <w:t>，</w:t>
      </w:r>
      <w:r>
        <w:rPr>
          <w:rFonts w:hint="eastAsia"/>
          <w:highlight w:val="none"/>
        </w:rPr>
        <w:t>救生</w:t>
      </w:r>
      <w:r>
        <w:rPr>
          <w:rFonts w:hint="eastAsia"/>
          <w:highlight w:val="none"/>
          <w:lang w:val="en-US" w:eastAsia="zh-CN"/>
        </w:rPr>
        <w:t>和</w:t>
      </w:r>
      <w:r>
        <w:rPr>
          <w:rFonts w:hint="eastAsia"/>
          <w:highlight w:val="none"/>
        </w:rPr>
        <w:t>逃生</w:t>
      </w:r>
      <w:r>
        <w:rPr>
          <w:rFonts w:hint="eastAsia"/>
          <w:highlight w:val="none"/>
          <w:lang w:eastAsia="zh-CN"/>
        </w:rPr>
        <w:t>，</w:t>
      </w:r>
      <w:r>
        <w:rPr>
          <w:rFonts w:hint="eastAsia"/>
          <w:highlight w:val="none"/>
        </w:rPr>
        <w:t>助航标志与信号</w:t>
      </w:r>
      <w:r>
        <w:rPr>
          <w:rFonts w:hint="eastAsia"/>
          <w:highlight w:val="none"/>
          <w:lang w:eastAsia="zh-CN"/>
        </w:rPr>
        <w:t>，</w:t>
      </w:r>
      <w:r>
        <w:rPr>
          <w:rFonts w:hint="eastAsia"/>
          <w:highlight w:val="none"/>
        </w:rPr>
        <w:t>通信系统</w:t>
      </w:r>
      <w:r>
        <w:rPr>
          <w:rFonts w:hint="eastAsia"/>
          <w:highlight w:val="none"/>
          <w:lang w:eastAsia="zh-CN"/>
        </w:rPr>
        <w:t>，</w:t>
      </w:r>
      <w:r>
        <w:rPr>
          <w:rFonts w:hint="eastAsia"/>
          <w:highlight w:val="none"/>
        </w:rPr>
        <w:t>防腐</w:t>
      </w:r>
      <w:r>
        <w:rPr>
          <w:rFonts w:hint="eastAsia"/>
          <w:highlight w:val="none"/>
          <w:lang w:eastAsia="zh-CN"/>
        </w:rPr>
        <w:t>，</w:t>
      </w:r>
      <w:r>
        <w:rPr>
          <w:rFonts w:hint="eastAsia"/>
          <w:highlight w:val="none"/>
        </w:rPr>
        <w:t>模块钻机</w:t>
      </w:r>
      <w:r>
        <w:rPr>
          <w:rFonts w:hint="eastAsia"/>
          <w:highlight w:val="none"/>
          <w:lang w:val="en-US" w:eastAsia="zh-CN"/>
        </w:rPr>
        <w:t>/</w:t>
      </w:r>
      <w:r>
        <w:rPr>
          <w:rFonts w:hint="eastAsia"/>
          <w:highlight w:val="none"/>
        </w:rPr>
        <w:t>修井机</w:t>
      </w:r>
      <w:r>
        <w:rPr>
          <w:rFonts w:hint="eastAsia"/>
          <w:highlight w:val="none"/>
          <w:lang w:eastAsia="zh-CN"/>
        </w:rPr>
        <w:t>，</w:t>
      </w:r>
      <w:r>
        <w:rPr>
          <w:rFonts w:hint="eastAsia"/>
          <w:highlight w:val="none"/>
          <w:lang w:val="en-US" w:eastAsia="zh-CN"/>
        </w:rPr>
        <w:t>直升机甲板设施，</w:t>
      </w:r>
      <w:r>
        <w:rPr>
          <w:rFonts w:hint="eastAsia"/>
          <w:highlight w:val="none"/>
        </w:rPr>
        <w:t>医疗救护系统等</w:t>
      </w:r>
      <w:r>
        <w:rPr>
          <w:rFonts w:hint="eastAsia"/>
          <w:highlight w:val="none"/>
          <w:lang w:val="en-US" w:eastAsia="zh-CN"/>
        </w:rPr>
        <w:t>现状进行评价</w:t>
      </w:r>
      <w:r>
        <w:rPr>
          <w:rFonts w:hint="eastAsia"/>
          <w:highlight w:val="none"/>
        </w:rPr>
        <w:t>；</w:t>
      </w:r>
    </w:p>
    <w:p w14:paraId="71E26F36">
      <w:pPr>
        <w:keepNext w:val="0"/>
        <w:keepLines w:val="0"/>
        <w:pageBreakBefore w:val="0"/>
        <w:widowControl/>
        <w:numPr>
          <w:ilvl w:val="0"/>
          <w:numId w:val="30"/>
        </w:numPr>
        <w:kinsoku/>
        <w:wordWrap/>
        <w:overflowPunct/>
        <w:topLinePunct w:val="0"/>
        <w:autoSpaceDE/>
        <w:autoSpaceDN/>
        <w:bidi w:val="0"/>
        <w:adjustRightInd/>
        <w:snapToGrid/>
        <w:spacing w:line="240" w:lineRule="auto"/>
        <w:ind w:left="839" w:hanging="420"/>
        <w:jc w:val="both"/>
        <w:textAlignment w:val="auto"/>
        <w:rPr>
          <w:highlight w:val="none"/>
        </w:rPr>
      </w:pPr>
      <w:r>
        <w:rPr>
          <w:rFonts w:hint="eastAsia"/>
          <w:szCs w:val="24"/>
          <w:highlight w:val="none"/>
        </w:rPr>
        <w:t>浮式生产储油装置及单点系泊</w:t>
      </w:r>
      <w:r>
        <w:rPr>
          <w:rFonts w:hint="eastAsia"/>
          <w:highlight w:val="none"/>
          <w:lang w:val="en-US" w:eastAsia="zh-CN"/>
        </w:rPr>
        <w:t>：对</w:t>
      </w:r>
      <w:r>
        <w:rPr>
          <w:rFonts w:hint="eastAsia"/>
          <w:highlight w:val="none"/>
        </w:rPr>
        <w:t>海洋石油生产设施</w:t>
      </w:r>
      <w:r>
        <w:rPr>
          <w:rFonts w:hint="eastAsia"/>
          <w:highlight w:val="none"/>
          <w:lang w:val="en-US" w:eastAsia="zh-CN"/>
        </w:rPr>
        <w:t>发证检验、</w:t>
      </w:r>
      <w:r>
        <w:rPr>
          <w:rFonts w:hint="eastAsia"/>
          <w:highlight w:val="none"/>
          <w:lang w:eastAsia="zh-CN"/>
        </w:rPr>
        <w:t>专业设备检测检验、</w:t>
      </w:r>
      <w:r>
        <w:rPr>
          <w:rFonts w:hint="eastAsia"/>
          <w:highlight w:val="none"/>
          <w:lang w:val="en-US" w:eastAsia="zh-CN"/>
        </w:rPr>
        <w:t>总体布置、结构、系泊系统、</w:t>
      </w:r>
      <w:r>
        <w:rPr>
          <w:rFonts w:hint="eastAsia"/>
          <w:highlight w:val="none"/>
        </w:rPr>
        <w:t>稳性</w:t>
      </w:r>
      <w:r>
        <w:rPr>
          <w:rFonts w:hint="eastAsia"/>
          <w:highlight w:val="none"/>
          <w:lang w:val="en-US" w:eastAsia="zh-CN"/>
        </w:rPr>
        <w:t>/</w:t>
      </w:r>
      <w:r>
        <w:rPr>
          <w:rFonts w:hint="eastAsia"/>
          <w:highlight w:val="none"/>
        </w:rPr>
        <w:t>分舱</w:t>
      </w:r>
      <w:r>
        <w:rPr>
          <w:rFonts w:hint="eastAsia"/>
          <w:highlight w:val="none"/>
          <w:lang w:val="en-US" w:eastAsia="zh-CN"/>
        </w:rPr>
        <w:t>和干舷、油气水输入及处理系统、原油储存和外输、</w:t>
      </w:r>
      <w:r>
        <w:rPr>
          <w:rFonts w:hint="eastAsia"/>
          <w:highlight w:val="none"/>
        </w:rPr>
        <w:t>通用机械设备及管系</w:t>
      </w:r>
      <w:r>
        <w:rPr>
          <w:rFonts w:hint="eastAsia"/>
          <w:highlight w:val="none"/>
          <w:lang w:eastAsia="zh-CN"/>
        </w:rPr>
        <w:t>、</w:t>
      </w:r>
      <w:r>
        <w:rPr>
          <w:rFonts w:hint="eastAsia"/>
          <w:highlight w:val="none"/>
          <w:lang w:val="en-US" w:eastAsia="zh-CN"/>
        </w:rPr>
        <w:t>电气装置、仪表及控制设备、防火和防爆安全、起重设备、救生设备和装置、通信设备、助航标志与信号、直升机甲板设施、</w:t>
      </w:r>
      <w:r>
        <w:rPr>
          <w:rFonts w:hint="eastAsia"/>
          <w:highlight w:val="none"/>
        </w:rPr>
        <w:t>医疗救护系统等</w:t>
      </w:r>
      <w:r>
        <w:rPr>
          <w:rFonts w:hint="eastAsia"/>
          <w:highlight w:val="none"/>
          <w:lang w:val="en-US" w:eastAsia="zh-CN"/>
        </w:rPr>
        <w:t>现状进行评价</w:t>
      </w:r>
      <w:r>
        <w:rPr>
          <w:rFonts w:hint="eastAsia"/>
          <w:highlight w:val="none"/>
        </w:rPr>
        <w:t>；</w:t>
      </w:r>
    </w:p>
    <w:p w14:paraId="5FFAA6C8">
      <w:pPr>
        <w:keepNext w:val="0"/>
        <w:keepLines w:val="0"/>
        <w:pageBreakBefore w:val="0"/>
        <w:widowControl/>
        <w:numPr>
          <w:ilvl w:val="0"/>
          <w:numId w:val="30"/>
        </w:numPr>
        <w:kinsoku/>
        <w:wordWrap/>
        <w:overflowPunct/>
        <w:topLinePunct w:val="0"/>
        <w:autoSpaceDE/>
        <w:autoSpaceDN/>
        <w:bidi w:val="0"/>
        <w:adjustRightInd/>
        <w:snapToGrid/>
        <w:spacing w:line="240" w:lineRule="auto"/>
        <w:ind w:left="839" w:hanging="420"/>
        <w:jc w:val="both"/>
        <w:textAlignment w:val="auto"/>
        <w:rPr>
          <w:highlight w:val="none"/>
        </w:rPr>
      </w:pPr>
      <w:r>
        <w:rPr>
          <w:rFonts w:hint="eastAsia"/>
          <w:highlight w:val="none"/>
        </w:rPr>
        <w:t>水下生产系统</w:t>
      </w:r>
      <w:r>
        <w:rPr>
          <w:rFonts w:hint="eastAsia"/>
          <w:highlight w:val="none"/>
          <w:lang w:val="en-US" w:eastAsia="zh-CN"/>
        </w:rPr>
        <w:t>：对</w:t>
      </w:r>
      <w:r>
        <w:rPr>
          <w:rFonts w:hint="eastAsia"/>
          <w:highlight w:val="none"/>
        </w:rPr>
        <w:t>海洋石油生产设施</w:t>
      </w:r>
      <w:r>
        <w:rPr>
          <w:rFonts w:hint="eastAsia"/>
          <w:highlight w:val="none"/>
          <w:lang w:val="en-US" w:eastAsia="zh-CN"/>
        </w:rPr>
        <w:t>发证检验及安全</w:t>
      </w:r>
      <w:r>
        <w:rPr>
          <w:rFonts w:hint="eastAsia"/>
          <w:highlight w:val="none"/>
        </w:rPr>
        <w:t>管理</w:t>
      </w:r>
      <w:r>
        <w:rPr>
          <w:rFonts w:hint="eastAsia"/>
          <w:highlight w:val="none"/>
          <w:lang w:val="en-US" w:eastAsia="zh-CN"/>
        </w:rPr>
        <w:t>情况进行评价</w:t>
      </w:r>
      <w:r>
        <w:rPr>
          <w:rFonts w:hint="eastAsia"/>
          <w:highlight w:val="none"/>
          <w:lang w:eastAsia="zh-CN"/>
        </w:rPr>
        <w:t>；</w:t>
      </w:r>
    </w:p>
    <w:p w14:paraId="3981D6A9">
      <w:pPr>
        <w:keepNext w:val="0"/>
        <w:keepLines w:val="0"/>
        <w:pageBreakBefore w:val="0"/>
        <w:widowControl/>
        <w:numPr>
          <w:ilvl w:val="0"/>
          <w:numId w:val="30"/>
        </w:numPr>
        <w:kinsoku/>
        <w:wordWrap/>
        <w:overflowPunct/>
        <w:topLinePunct w:val="0"/>
        <w:autoSpaceDE/>
        <w:autoSpaceDN/>
        <w:bidi w:val="0"/>
        <w:adjustRightInd/>
        <w:snapToGrid/>
        <w:spacing w:line="240" w:lineRule="auto"/>
        <w:ind w:left="839" w:hanging="420"/>
        <w:jc w:val="both"/>
        <w:textAlignment w:val="auto"/>
        <w:rPr>
          <w:highlight w:val="none"/>
        </w:rPr>
      </w:pPr>
      <w:r>
        <w:rPr>
          <w:rFonts w:hint="eastAsia"/>
          <w:highlight w:val="none"/>
        </w:rPr>
        <w:t>移动</w:t>
      </w:r>
      <w:r>
        <w:rPr>
          <w:rFonts w:hint="eastAsia"/>
          <w:highlight w:val="none"/>
          <w:lang w:val="en-US" w:eastAsia="zh-CN"/>
        </w:rPr>
        <w:t>生产</w:t>
      </w:r>
      <w:r>
        <w:rPr>
          <w:rFonts w:hint="eastAsia"/>
          <w:highlight w:val="none"/>
        </w:rPr>
        <w:t>平台</w:t>
      </w:r>
      <w:r>
        <w:rPr>
          <w:rFonts w:hint="eastAsia"/>
          <w:highlight w:val="none"/>
          <w:lang w:val="en-US" w:eastAsia="zh-CN"/>
        </w:rPr>
        <w:t>：对</w:t>
      </w:r>
      <w:r>
        <w:rPr>
          <w:rFonts w:hint="eastAsia"/>
          <w:highlight w:val="none"/>
        </w:rPr>
        <w:t>海洋石油生产设施</w:t>
      </w:r>
      <w:r>
        <w:rPr>
          <w:rFonts w:hint="eastAsia"/>
          <w:highlight w:val="none"/>
          <w:lang w:val="en-US" w:eastAsia="zh-CN"/>
        </w:rPr>
        <w:t>发证检验，</w:t>
      </w:r>
      <w:r>
        <w:rPr>
          <w:rFonts w:hint="eastAsia"/>
          <w:highlight w:val="none"/>
          <w:lang w:eastAsia="zh-CN"/>
        </w:rPr>
        <w:t>专业设备检测检验，</w:t>
      </w:r>
      <w:r>
        <w:rPr>
          <w:rFonts w:hint="eastAsia"/>
          <w:highlight w:val="none"/>
        </w:rPr>
        <w:t>总体布置及结构</w:t>
      </w:r>
      <w:r>
        <w:rPr>
          <w:rFonts w:hint="eastAsia"/>
          <w:highlight w:val="none"/>
          <w:lang w:eastAsia="zh-CN"/>
        </w:rPr>
        <w:t>，</w:t>
      </w:r>
      <w:r>
        <w:rPr>
          <w:rFonts w:hint="eastAsia"/>
          <w:highlight w:val="none"/>
        </w:rPr>
        <w:t>油气生产工艺</w:t>
      </w:r>
      <w:r>
        <w:rPr>
          <w:rFonts w:hint="eastAsia"/>
          <w:highlight w:val="none"/>
          <w:lang w:eastAsia="zh-CN"/>
        </w:rPr>
        <w:t>，</w:t>
      </w:r>
      <w:r>
        <w:rPr>
          <w:rFonts w:hint="eastAsia"/>
          <w:highlight w:val="none"/>
        </w:rPr>
        <w:t>通用机械设备及管系</w:t>
      </w:r>
      <w:r>
        <w:rPr>
          <w:rFonts w:hint="eastAsia"/>
          <w:highlight w:val="none"/>
          <w:lang w:eastAsia="zh-CN"/>
        </w:rPr>
        <w:t>，</w:t>
      </w:r>
      <w:r>
        <w:rPr>
          <w:rFonts w:hint="eastAsia"/>
          <w:highlight w:val="none"/>
        </w:rPr>
        <w:t>电气设备及电缆</w:t>
      </w:r>
      <w:r>
        <w:rPr>
          <w:rFonts w:hint="eastAsia"/>
          <w:highlight w:val="none"/>
          <w:lang w:eastAsia="zh-CN"/>
        </w:rPr>
        <w:t>，</w:t>
      </w:r>
      <w:r>
        <w:rPr>
          <w:rFonts w:hint="eastAsia"/>
          <w:highlight w:val="none"/>
        </w:rPr>
        <w:t>仪控系统</w:t>
      </w:r>
      <w:r>
        <w:rPr>
          <w:rFonts w:hint="eastAsia"/>
          <w:highlight w:val="none"/>
          <w:lang w:eastAsia="zh-CN"/>
        </w:rPr>
        <w:t>，</w:t>
      </w:r>
      <w:r>
        <w:rPr>
          <w:rFonts w:hint="eastAsia"/>
          <w:highlight w:val="none"/>
        </w:rPr>
        <w:t>火灾与可燃</w:t>
      </w:r>
      <w:r>
        <w:rPr>
          <w:rFonts w:hint="eastAsia"/>
          <w:highlight w:val="none"/>
          <w:lang w:eastAsia="zh-CN"/>
        </w:rPr>
        <w:t>、</w:t>
      </w:r>
      <w:r>
        <w:rPr>
          <w:rFonts w:hint="eastAsia"/>
          <w:highlight w:val="none"/>
          <w:lang w:val="en-US" w:eastAsia="zh-CN"/>
        </w:rPr>
        <w:t>有毒</w:t>
      </w:r>
      <w:r>
        <w:rPr>
          <w:rFonts w:hint="eastAsia"/>
          <w:highlight w:val="none"/>
        </w:rPr>
        <w:t>气体探测报警系统</w:t>
      </w:r>
      <w:r>
        <w:rPr>
          <w:rFonts w:hint="eastAsia"/>
          <w:highlight w:val="none"/>
          <w:lang w:eastAsia="zh-CN"/>
        </w:rPr>
        <w:t>，</w:t>
      </w:r>
      <w:r>
        <w:rPr>
          <w:rFonts w:hint="eastAsia"/>
          <w:highlight w:val="none"/>
        </w:rPr>
        <w:t>消防</w:t>
      </w:r>
      <w:r>
        <w:rPr>
          <w:rFonts w:hint="eastAsia"/>
          <w:highlight w:val="none"/>
          <w:lang w:eastAsia="zh-CN"/>
        </w:rPr>
        <w:t>，</w:t>
      </w:r>
      <w:r>
        <w:rPr>
          <w:rFonts w:hint="eastAsia"/>
          <w:highlight w:val="none"/>
        </w:rPr>
        <w:t>救生与逃生系统</w:t>
      </w:r>
      <w:r>
        <w:rPr>
          <w:rFonts w:hint="eastAsia"/>
          <w:highlight w:val="none"/>
          <w:lang w:eastAsia="zh-CN"/>
        </w:rPr>
        <w:t>，</w:t>
      </w:r>
      <w:r>
        <w:rPr>
          <w:rFonts w:hint="eastAsia"/>
          <w:highlight w:val="none"/>
        </w:rPr>
        <w:t>助航标志与信号</w:t>
      </w:r>
      <w:r>
        <w:rPr>
          <w:rFonts w:hint="eastAsia"/>
          <w:highlight w:val="none"/>
          <w:lang w:eastAsia="zh-CN"/>
        </w:rPr>
        <w:t>，</w:t>
      </w:r>
      <w:r>
        <w:rPr>
          <w:rFonts w:hint="eastAsia"/>
          <w:highlight w:val="none"/>
        </w:rPr>
        <w:t>通信系统</w:t>
      </w:r>
      <w:r>
        <w:rPr>
          <w:rFonts w:hint="eastAsia"/>
          <w:highlight w:val="none"/>
          <w:lang w:eastAsia="zh-CN"/>
        </w:rPr>
        <w:t>，</w:t>
      </w:r>
      <w:r>
        <w:rPr>
          <w:rFonts w:hint="eastAsia"/>
          <w:highlight w:val="none"/>
        </w:rPr>
        <w:t>防腐</w:t>
      </w:r>
      <w:r>
        <w:rPr>
          <w:rFonts w:hint="eastAsia"/>
          <w:highlight w:val="none"/>
          <w:lang w:eastAsia="zh-CN"/>
        </w:rPr>
        <w:t>，</w:t>
      </w:r>
      <w:r>
        <w:rPr>
          <w:rFonts w:hint="eastAsia"/>
          <w:highlight w:val="none"/>
        </w:rPr>
        <w:t>定位系统</w:t>
      </w:r>
      <w:r>
        <w:rPr>
          <w:rFonts w:hint="eastAsia"/>
          <w:highlight w:val="none"/>
          <w:lang w:eastAsia="zh-CN"/>
        </w:rPr>
        <w:t>，</w:t>
      </w:r>
      <w:r>
        <w:rPr>
          <w:rFonts w:hint="eastAsia"/>
          <w:highlight w:val="none"/>
        </w:rPr>
        <w:t>拖曳设施</w:t>
      </w:r>
      <w:r>
        <w:rPr>
          <w:rFonts w:hint="eastAsia"/>
          <w:highlight w:val="none"/>
          <w:lang w:eastAsia="zh-CN"/>
        </w:rPr>
        <w:t>，</w:t>
      </w:r>
      <w:r>
        <w:rPr>
          <w:rFonts w:hint="eastAsia"/>
          <w:highlight w:val="none"/>
        </w:rPr>
        <w:t>锚泊系统</w:t>
      </w:r>
      <w:r>
        <w:rPr>
          <w:rFonts w:hint="eastAsia"/>
          <w:highlight w:val="none"/>
          <w:lang w:eastAsia="zh-CN"/>
        </w:rPr>
        <w:t>，</w:t>
      </w:r>
      <w:r>
        <w:rPr>
          <w:rFonts w:hint="eastAsia"/>
          <w:highlight w:val="none"/>
        </w:rPr>
        <w:t>水密系统</w:t>
      </w:r>
      <w:r>
        <w:rPr>
          <w:rFonts w:hint="eastAsia"/>
          <w:highlight w:val="none"/>
          <w:lang w:eastAsia="zh-CN"/>
        </w:rPr>
        <w:t>，</w:t>
      </w:r>
      <w:r>
        <w:rPr>
          <w:rFonts w:hint="eastAsia"/>
          <w:highlight w:val="none"/>
        </w:rPr>
        <w:t>稳性</w:t>
      </w:r>
      <w:r>
        <w:rPr>
          <w:rFonts w:hint="eastAsia"/>
          <w:highlight w:val="none"/>
          <w:lang w:val="en-US" w:eastAsia="zh-CN"/>
        </w:rPr>
        <w:t>/</w:t>
      </w:r>
      <w:r>
        <w:rPr>
          <w:rFonts w:hint="eastAsia"/>
          <w:highlight w:val="none"/>
        </w:rPr>
        <w:t>分舱</w:t>
      </w:r>
      <w:r>
        <w:rPr>
          <w:rFonts w:hint="eastAsia"/>
          <w:highlight w:val="none"/>
          <w:lang w:val="en-US" w:eastAsia="zh-CN"/>
        </w:rPr>
        <w:t>和干舷</w:t>
      </w:r>
      <w:r>
        <w:rPr>
          <w:rFonts w:hint="eastAsia"/>
          <w:highlight w:val="none"/>
          <w:lang w:eastAsia="zh-CN"/>
        </w:rPr>
        <w:t>，</w:t>
      </w:r>
      <w:r>
        <w:rPr>
          <w:rFonts w:hint="eastAsia"/>
          <w:highlight w:val="none"/>
        </w:rPr>
        <w:t>自升式平台升降装置</w:t>
      </w:r>
      <w:r>
        <w:rPr>
          <w:rFonts w:hint="eastAsia"/>
          <w:highlight w:val="none"/>
          <w:lang w:eastAsia="zh-CN"/>
        </w:rPr>
        <w:t>，</w:t>
      </w:r>
      <w:r>
        <w:rPr>
          <w:rFonts w:hint="eastAsia"/>
          <w:highlight w:val="none"/>
          <w:lang w:val="en-US" w:eastAsia="zh-CN"/>
        </w:rPr>
        <w:t>直升机甲板设施，</w:t>
      </w:r>
      <w:r>
        <w:rPr>
          <w:rFonts w:hint="eastAsia"/>
          <w:highlight w:val="none"/>
        </w:rPr>
        <w:t>医疗救护系统等</w:t>
      </w:r>
      <w:r>
        <w:rPr>
          <w:rFonts w:hint="eastAsia"/>
          <w:highlight w:val="none"/>
          <w:lang w:val="en-US" w:eastAsia="zh-CN"/>
        </w:rPr>
        <w:t>现状进行评价</w:t>
      </w:r>
      <w:r>
        <w:rPr>
          <w:rFonts w:hint="eastAsia"/>
          <w:highlight w:val="none"/>
        </w:rPr>
        <w:t>；</w:t>
      </w:r>
    </w:p>
    <w:p w14:paraId="5EBEFF0F">
      <w:pPr>
        <w:keepNext w:val="0"/>
        <w:keepLines w:val="0"/>
        <w:pageBreakBefore w:val="0"/>
        <w:widowControl/>
        <w:numPr>
          <w:ilvl w:val="0"/>
          <w:numId w:val="30"/>
        </w:numPr>
        <w:kinsoku/>
        <w:wordWrap/>
        <w:overflowPunct/>
        <w:topLinePunct w:val="0"/>
        <w:autoSpaceDE/>
        <w:autoSpaceDN/>
        <w:bidi w:val="0"/>
        <w:adjustRightInd/>
        <w:snapToGrid/>
        <w:spacing w:line="240" w:lineRule="auto"/>
        <w:ind w:left="839" w:hanging="420"/>
        <w:jc w:val="both"/>
        <w:textAlignment w:val="auto"/>
        <w:rPr>
          <w:highlight w:val="none"/>
        </w:rPr>
      </w:pPr>
      <w:r>
        <w:rPr>
          <w:rFonts w:hint="eastAsia"/>
          <w:highlight w:val="none"/>
        </w:rPr>
        <w:t>陆岸终端</w:t>
      </w:r>
      <w:r>
        <w:rPr>
          <w:rFonts w:hint="eastAsia"/>
          <w:highlight w:val="none"/>
          <w:lang w:val="en-US" w:eastAsia="zh-CN"/>
        </w:rPr>
        <w:t>：对</w:t>
      </w:r>
      <w:r>
        <w:rPr>
          <w:rFonts w:hint="eastAsia"/>
          <w:highlight w:val="none"/>
        </w:rPr>
        <w:t>海洋石油生产设施</w:t>
      </w:r>
      <w:r>
        <w:rPr>
          <w:rFonts w:hint="eastAsia"/>
          <w:highlight w:val="none"/>
          <w:lang w:val="en-US" w:eastAsia="zh-CN"/>
        </w:rPr>
        <w:t>发证检验、</w:t>
      </w:r>
      <w:r>
        <w:rPr>
          <w:rFonts w:hint="eastAsia"/>
          <w:highlight w:val="none"/>
          <w:lang w:eastAsia="zh-CN"/>
        </w:rPr>
        <w:t>专业设备检测检验、</w:t>
      </w:r>
      <w:r>
        <w:rPr>
          <w:rFonts w:hint="eastAsia"/>
          <w:highlight w:val="none"/>
        </w:rPr>
        <w:t>区域布置、总平面布置、油气生产</w:t>
      </w:r>
      <w:r>
        <w:rPr>
          <w:rFonts w:hint="eastAsia"/>
          <w:highlight w:val="none"/>
          <w:lang w:val="en-US" w:eastAsia="zh-CN"/>
        </w:rPr>
        <w:t>设施</w:t>
      </w:r>
      <w:r>
        <w:rPr>
          <w:rFonts w:hint="eastAsia"/>
          <w:highlight w:val="none"/>
        </w:rPr>
        <w:t>、电气</w:t>
      </w:r>
      <w:r>
        <w:rPr>
          <w:rFonts w:hint="eastAsia"/>
          <w:highlight w:val="none"/>
          <w:lang w:eastAsia="zh-CN"/>
        </w:rPr>
        <w:t>、</w:t>
      </w:r>
      <w:r>
        <w:rPr>
          <w:rFonts w:hint="eastAsia"/>
          <w:highlight w:val="none"/>
        </w:rPr>
        <w:t>消防</w:t>
      </w:r>
      <w:r>
        <w:rPr>
          <w:rFonts w:hint="eastAsia"/>
          <w:highlight w:val="none"/>
          <w:lang w:val="en-US" w:eastAsia="zh-CN"/>
        </w:rPr>
        <w:t>设备</w:t>
      </w:r>
      <w:r>
        <w:rPr>
          <w:rFonts w:hint="eastAsia"/>
          <w:highlight w:val="none"/>
        </w:rPr>
        <w:t>、</w:t>
      </w:r>
      <w:r>
        <w:rPr>
          <w:rFonts w:hint="eastAsia"/>
          <w:highlight w:val="none"/>
          <w:lang w:val="en-US" w:eastAsia="zh-CN"/>
        </w:rPr>
        <w:t>防雷和防静电、泵和压缩机、车辆管理</w:t>
      </w:r>
      <w:r>
        <w:rPr>
          <w:rFonts w:hint="eastAsia"/>
          <w:highlight w:val="none"/>
        </w:rPr>
        <w:t>等</w:t>
      </w:r>
      <w:r>
        <w:rPr>
          <w:rFonts w:hint="eastAsia"/>
          <w:highlight w:val="none"/>
          <w:lang w:val="en-US" w:eastAsia="zh-CN"/>
        </w:rPr>
        <w:t>现状进行评价</w:t>
      </w:r>
      <w:r>
        <w:rPr>
          <w:rFonts w:hint="eastAsia"/>
          <w:highlight w:val="none"/>
        </w:rPr>
        <w:t>；</w:t>
      </w:r>
    </w:p>
    <w:p w14:paraId="41972049">
      <w:pPr>
        <w:keepNext w:val="0"/>
        <w:keepLines w:val="0"/>
        <w:pageBreakBefore w:val="0"/>
        <w:widowControl/>
        <w:numPr>
          <w:ilvl w:val="0"/>
          <w:numId w:val="30"/>
        </w:numPr>
        <w:kinsoku/>
        <w:wordWrap/>
        <w:overflowPunct/>
        <w:topLinePunct w:val="0"/>
        <w:autoSpaceDE/>
        <w:autoSpaceDN/>
        <w:bidi w:val="0"/>
        <w:adjustRightInd/>
        <w:snapToGrid/>
        <w:spacing w:line="240" w:lineRule="auto"/>
        <w:ind w:left="839" w:hanging="420"/>
        <w:jc w:val="both"/>
        <w:textAlignment w:val="auto"/>
        <w:rPr>
          <w:highlight w:val="none"/>
        </w:rPr>
      </w:pPr>
      <w:r>
        <w:rPr>
          <w:rFonts w:hint="eastAsia"/>
          <w:highlight w:val="none"/>
        </w:rPr>
        <w:t>滩海陆岸石油设施和</w:t>
      </w:r>
      <w:r>
        <w:rPr>
          <w:rFonts w:hint="eastAsia"/>
          <w:highlight w:val="none"/>
          <w:lang w:val="en-US" w:eastAsia="zh-CN"/>
        </w:rPr>
        <w:t>石油人工岛：对</w:t>
      </w:r>
      <w:r>
        <w:rPr>
          <w:rFonts w:hint="eastAsia"/>
          <w:highlight w:val="none"/>
        </w:rPr>
        <w:t>海洋石油生产设施</w:t>
      </w:r>
      <w:r>
        <w:rPr>
          <w:rFonts w:hint="eastAsia"/>
          <w:highlight w:val="none"/>
          <w:lang w:val="en-US" w:eastAsia="zh-CN"/>
        </w:rPr>
        <w:t>发证检验、</w:t>
      </w:r>
      <w:r>
        <w:rPr>
          <w:rFonts w:hint="eastAsia"/>
          <w:highlight w:val="none"/>
          <w:lang w:eastAsia="zh-CN"/>
        </w:rPr>
        <w:t>专业设备检测检验、</w:t>
      </w:r>
      <w:r>
        <w:rPr>
          <w:rFonts w:hint="eastAsia"/>
          <w:highlight w:val="none"/>
          <w:lang w:val="en-US" w:eastAsia="zh-CN"/>
        </w:rPr>
        <w:t>石油人工岛结构、总体</w:t>
      </w:r>
      <w:r>
        <w:rPr>
          <w:rFonts w:hint="eastAsia"/>
          <w:highlight w:val="none"/>
        </w:rPr>
        <w:t>布置、油气生产工艺、</w:t>
      </w:r>
      <w:r>
        <w:rPr>
          <w:rFonts w:hint="eastAsia"/>
          <w:highlight w:val="none"/>
          <w:lang w:val="en-US" w:eastAsia="zh-CN"/>
        </w:rPr>
        <w:t>通用</w:t>
      </w:r>
      <w:r>
        <w:rPr>
          <w:rFonts w:hint="eastAsia"/>
          <w:highlight w:val="none"/>
        </w:rPr>
        <w:t>机械设备与管</w:t>
      </w:r>
      <w:r>
        <w:rPr>
          <w:rFonts w:hint="eastAsia"/>
          <w:highlight w:val="none"/>
          <w:lang w:val="en-US" w:eastAsia="zh-CN"/>
        </w:rPr>
        <w:t>系</w:t>
      </w:r>
      <w:r>
        <w:rPr>
          <w:rFonts w:hint="eastAsia"/>
          <w:highlight w:val="none"/>
        </w:rPr>
        <w:t>、</w:t>
      </w:r>
      <w:r>
        <w:rPr>
          <w:rFonts w:hint="eastAsia"/>
          <w:highlight w:val="none"/>
          <w:lang w:val="en-US" w:eastAsia="zh-CN"/>
        </w:rPr>
        <w:t>救逃</w:t>
      </w:r>
      <w:r>
        <w:rPr>
          <w:rFonts w:hint="eastAsia"/>
          <w:highlight w:val="none"/>
        </w:rPr>
        <w:t>生</w:t>
      </w:r>
      <w:r>
        <w:rPr>
          <w:rFonts w:hint="eastAsia"/>
          <w:highlight w:val="none"/>
          <w:lang w:val="en-US" w:eastAsia="zh-CN"/>
        </w:rPr>
        <w:t>设备设施与消防设备</w:t>
      </w:r>
      <w:r>
        <w:rPr>
          <w:rFonts w:hint="eastAsia"/>
          <w:highlight w:val="none"/>
        </w:rPr>
        <w:t>、电气</w:t>
      </w:r>
      <w:r>
        <w:rPr>
          <w:rFonts w:hint="eastAsia"/>
          <w:highlight w:val="none"/>
          <w:lang w:val="en-US" w:eastAsia="zh-CN"/>
        </w:rPr>
        <w:t>与安全</w:t>
      </w:r>
      <w:r>
        <w:rPr>
          <w:rFonts w:hint="eastAsia"/>
          <w:highlight w:val="none"/>
        </w:rPr>
        <w:t>仪</w:t>
      </w:r>
      <w:r>
        <w:rPr>
          <w:rFonts w:hint="eastAsia"/>
          <w:highlight w:val="none"/>
          <w:lang w:val="en-US" w:eastAsia="zh-CN"/>
        </w:rPr>
        <w:t>表设备</w:t>
      </w:r>
      <w:r>
        <w:rPr>
          <w:rFonts w:hint="eastAsia"/>
          <w:highlight w:val="none"/>
          <w:lang w:eastAsia="zh-CN"/>
        </w:rPr>
        <w:t>、</w:t>
      </w:r>
      <w:r>
        <w:rPr>
          <w:rFonts w:hint="eastAsia"/>
          <w:highlight w:val="none"/>
          <w:lang w:val="en-US" w:eastAsia="zh-CN"/>
        </w:rPr>
        <w:t>通信设备、交通设备、钻修井设备、道路与车辆</w:t>
      </w:r>
      <w:r>
        <w:rPr>
          <w:rFonts w:hint="eastAsia"/>
          <w:highlight w:val="none"/>
        </w:rPr>
        <w:t>等</w:t>
      </w:r>
      <w:r>
        <w:rPr>
          <w:rFonts w:hint="eastAsia"/>
          <w:highlight w:val="none"/>
          <w:lang w:val="en-US" w:eastAsia="zh-CN"/>
        </w:rPr>
        <w:t>现状进行评价</w:t>
      </w:r>
      <w:r>
        <w:rPr>
          <w:rFonts w:hint="eastAsia"/>
          <w:highlight w:val="none"/>
        </w:rPr>
        <w:t>；</w:t>
      </w:r>
    </w:p>
    <w:p w14:paraId="136411CA">
      <w:pPr>
        <w:keepNext w:val="0"/>
        <w:keepLines w:val="0"/>
        <w:pageBreakBefore w:val="0"/>
        <w:widowControl/>
        <w:numPr>
          <w:ilvl w:val="0"/>
          <w:numId w:val="30"/>
        </w:numPr>
        <w:kinsoku/>
        <w:wordWrap/>
        <w:overflowPunct/>
        <w:topLinePunct w:val="0"/>
        <w:autoSpaceDE/>
        <w:autoSpaceDN/>
        <w:bidi w:val="0"/>
        <w:adjustRightInd/>
        <w:snapToGrid/>
        <w:spacing w:line="240" w:lineRule="auto"/>
        <w:ind w:left="839" w:hanging="420"/>
        <w:jc w:val="both"/>
        <w:textAlignment w:val="auto"/>
        <w:rPr>
          <w:highlight w:val="none"/>
        </w:rPr>
      </w:pPr>
      <w:r>
        <w:rPr>
          <w:rFonts w:hint="eastAsia" w:ascii="宋体" w:hAnsi="Times New Roman"/>
          <w:highlight w:val="none"/>
        </w:rPr>
        <w:t>海底管线</w:t>
      </w:r>
      <w:r>
        <w:rPr>
          <w:rFonts w:hint="eastAsia"/>
          <w:highlight w:val="none"/>
          <w:lang w:val="en-US" w:eastAsia="zh-CN"/>
        </w:rPr>
        <w:t>：对</w:t>
      </w:r>
      <w:r>
        <w:rPr>
          <w:rFonts w:hint="eastAsia"/>
          <w:highlight w:val="none"/>
        </w:rPr>
        <w:t>海洋石油生产设施</w:t>
      </w:r>
      <w:r>
        <w:rPr>
          <w:rFonts w:hint="eastAsia"/>
          <w:highlight w:val="none"/>
          <w:lang w:val="en-US" w:eastAsia="zh-CN"/>
        </w:rPr>
        <w:t>发证检验及安全</w:t>
      </w:r>
      <w:r>
        <w:rPr>
          <w:rFonts w:hint="eastAsia"/>
          <w:highlight w:val="none"/>
        </w:rPr>
        <w:t>管理</w:t>
      </w:r>
      <w:r>
        <w:rPr>
          <w:rFonts w:hint="eastAsia"/>
          <w:highlight w:val="none"/>
          <w:lang w:val="en-US" w:eastAsia="zh-CN"/>
        </w:rPr>
        <w:t>情况进行评价。</w:t>
      </w:r>
    </w:p>
    <w:p w14:paraId="369F78D8">
      <w:pPr>
        <w:snapToGrid w:val="0"/>
        <w:spacing w:before="156" w:beforeLines="50" w:after="156" w:afterLines="50"/>
        <w:outlineLvl w:val="1"/>
        <w:rPr>
          <w:rFonts w:hint="default" w:ascii="黑体" w:hAnsi="黑体" w:eastAsia="黑体" w:cs="黑体"/>
          <w:highlight w:val="none"/>
          <w:lang w:val="en-US" w:eastAsia="zh-CN"/>
        </w:rPr>
      </w:pPr>
      <w:bookmarkStart w:id="110" w:name="_Toc100"/>
      <w:r>
        <w:rPr>
          <w:rFonts w:hint="eastAsia" w:ascii="宋体" w:hAnsi="宋体" w:eastAsia="宋体" w:cs="宋体"/>
          <w:b/>
          <w:bCs/>
          <w:highlight w:val="none"/>
          <w:lang w:val="en-US" w:eastAsia="zh-CN"/>
        </w:rPr>
        <w:t>9.</w:t>
      </w:r>
      <w:r>
        <w:rPr>
          <w:rFonts w:hint="eastAsia" w:ascii="宋体" w:hAnsi="宋体" w:cs="宋体"/>
          <w:b/>
          <w:bCs/>
          <w:highlight w:val="none"/>
          <w:lang w:val="en-US" w:eastAsia="zh-CN"/>
        </w:rPr>
        <w:t>2</w:t>
      </w:r>
      <w:r>
        <w:rPr>
          <w:rFonts w:hint="eastAsia" w:ascii="黑体" w:hAnsi="黑体" w:eastAsia="黑体" w:cs="黑体"/>
          <w:highlight w:val="none"/>
          <w:lang w:val="en-US" w:eastAsia="zh-CN"/>
        </w:rPr>
        <w:t>物探设备设施评价</w:t>
      </w:r>
      <w:bookmarkEnd w:id="110"/>
    </w:p>
    <w:p w14:paraId="6BCA38A7">
      <w:pPr>
        <w:pStyle w:val="147"/>
        <w:ind w:firstLine="420"/>
        <w:rPr>
          <w:rFonts w:hint="eastAsia"/>
          <w:highlight w:val="none"/>
        </w:rPr>
      </w:pPr>
      <w:r>
        <w:rPr>
          <w:rFonts w:hint="eastAsia"/>
          <w:highlight w:val="none"/>
          <w:lang w:val="en-US" w:eastAsia="zh-CN"/>
        </w:rPr>
        <w:t>对</w:t>
      </w:r>
      <w:r>
        <w:rPr>
          <w:rFonts w:hint="eastAsia"/>
          <w:highlight w:val="none"/>
        </w:rPr>
        <w:t>以下设备设施的检测检验、维护保养</w:t>
      </w:r>
      <w:r>
        <w:rPr>
          <w:rFonts w:hint="eastAsia"/>
          <w:highlight w:val="none"/>
          <w:lang w:val="en-US" w:eastAsia="zh-CN"/>
        </w:rPr>
        <w:t>进行评价</w:t>
      </w:r>
      <w:r>
        <w:rPr>
          <w:rFonts w:hint="eastAsia"/>
          <w:highlight w:val="none"/>
        </w:rPr>
        <w:t>：</w:t>
      </w:r>
    </w:p>
    <w:p w14:paraId="201D14D0">
      <w:pPr>
        <w:pStyle w:val="145"/>
        <w:numPr>
          <w:ilvl w:val="0"/>
          <w:numId w:val="31"/>
        </w:numPr>
        <w:tabs>
          <w:tab w:val="left" w:pos="839"/>
        </w:tabs>
        <w:rPr>
          <w:highlight w:val="none"/>
        </w:rPr>
      </w:pPr>
      <w:r>
        <w:rPr>
          <w:rFonts w:hint="eastAsia"/>
          <w:highlight w:val="none"/>
        </w:rPr>
        <w:t>海洋石油作业设施（物探船等）；</w:t>
      </w:r>
    </w:p>
    <w:p w14:paraId="56C97DD5">
      <w:pPr>
        <w:pStyle w:val="145"/>
        <w:numPr>
          <w:ilvl w:val="0"/>
          <w:numId w:val="31"/>
        </w:numPr>
        <w:tabs>
          <w:tab w:val="left" w:pos="839"/>
        </w:tabs>
        <w:rPr>
          <w:highlight w:val="none"/>
        </w:rPr>
      </w:pPr>
      <w:r>
        <w:rPr>
          <w:rFonts w:hint="eastAsia"/>
          <w:highlight w:val="none"/>
        </w:rPr>
        <w:t>其他设备（震源系统、震源系统的主要压力容器和装置、震源的拖曳钢缆和绞车、电缆绞车</w:t>
      </w:r>
      <w:r>
        <w:rPr>
          <w:rFonts w:hint="eastAsia"/>
          <w:highlight w:val="none"/>
          <w:lang w:eastAsia="zh-CN"/>
        </w:rPr>
        <w:t>，</w:t>
      </w:r>
      <w:r>
        <w:rPr>
          <w:rFonts w:hint="eastAsia"/>
          <w:highlight w:val="none"/>
          <w:lang w:val="en-US" w:eastAsia="zh-CN"/>
        </w:rPr>
        <w:t>其他</w:t>
      </w:r>
      <w:r>
        <w:rPr>
          <w:rFonts w:hint="eastAsia"/>
          <w:highlight w:val="none"/>
        </w:rPr>
        <w:t>与物探作业有关的工作艇、</w:t>
      </w:r>
      <w:r>
        <w:rPr>
          <w:rFonts w:hint="eastAsia" w:hAnsi="宋体"/>
          <w:szCs w:val="21"/>
          <w:highlight w:val="none"/>
        </w:rPr>
        <w:t>民爆物品储运设备、</w:t>
      </w:r>
      <w:r>
        <w:rPr>
          <w:rFonts w:hint="eastAsia" w:hAnsi="宋体"/>
          <w:szCs w:val="21"/>
          <w:highlight w:val="none"/>
          <w:lang w:val="en-US" w:eastAsia="zh-CN"/>
        </w:rPr>
        <w:t>钻孔设备、</w:t>
      </w:r>
      <w:r>
        <w:rPr>
          <w:rFonts w:hint="eastAsia" w:hAnsi="宋体"/>
          <w:szCs w:val="21"/>
          <w:highlight w:val="none"/>
        </w:rPr>
        <w:t>采集设备等</w:t>
      </w:r>
      <w:r>
        <w:rPr>
          <w:rFonts w:hint="eastAsia"/>
          <w:highlight w:val="none"/>
        </w:rPr>
        <w:t>设备设施）</w:t>
      </w:r>
      <w:r>
        <w:rPr>
          <w:rFonts w:hint="eastAsia"/>
          <w:highlight w:val="none"/>
          <w:lang w:val="en-US" w:eastAsia="zh-CN"/>
        </w:rPr>
        <w:t>和</w:t>
      </w:r>
      <w:r>
        <w:rPr>
          <w:rFonts w:hint="eastAsia"/>
          <w:highlight w:val="none"/>
        </w:rPr>
        <w:t>民爆物品。</w:t>
      </w:r>
    </w:p>
    <w:p w14:paraId="622D5D3D">
      <w:pPr>
        <w:snapToGrid w:val="0"/>
        <w:spacing w:before="156" w:beforeLines="50" w:after="156" w:afterLines="50"/>
        <w:outlineLvl w:val="1"/>
        <w:rPr>
          <w:rFonts w:hint="eastAsia" w:ascii="黑体" w:hAnsi="黑体" w:eastAsia="黑体" w:cs="黑体"/>
          <w:highlight w:val="none"/>
          <w:lang w:val="en-US" w:eastAsia="zh-CN"/>
        </w:rPr>
      </w:pPr>
      <w:bookmarkStart w:id="111" w:name="_Toc25058"/>
      <w:r>
        <w:rPr>
          <w:rFonts w:hint="eastAsia" w:ascii="宋体" w:hAnsi="宋体" w:eastAsia="宋体" w:cs="宋体"/>
          <w:b/>
          <w:bCs/>
          <w:highlight w:val="none"/>
          <w:lang w:val="en-US" w:eastAsia="zh-CN"/>
        </w:rPr>
        <w:t>9.</w:t>
      </w:r>
      <w:r>
        <w:rPr>
          <w:rFonts w:hint="eastAsia" w:ascii="宋体" w:hAnsi="宋体" w:cs="宋体"/>
          <w:b/>
          <w:bCs/>
          <w:highlight w:val="none"/>
          <w:lang w:val="en-US" w:eastAsia="zh-CN"/>
        </w:rPr>
        <w:t>3</w:t>
      </w:r>
      <w:r>
        <w:rPr>
          <w:rFonts w:hint="eastAsia" w:ascii="黑体" w:hAnsi="黑体" w:eastAsia="黑体" w:cs="黑体"/>
          <w:highlight w:val="none"/>
          <w:lang w:val="en-US" w:eastAsia="zh-CN"/>
        </w:rPr>
        <w:t>钻井设备设施评价</w:t>
      </w:r>
      <w:bookmarkEnd w:id="111"/>
    </w:p>
    <w:p w14:paraId="22B73647">
      <w:pPr>
        <w:pStyle w:val="147"/>
        <w:ind w:firstLine="420"/>
        <w:rPr>
          <w:highlight w:val="none"/>
        </w:rPr>
      </w:pPr>
      <w:r>
        <w:rPr>
          <w:rFonts w:hint="eastAsia"/>
          <w:highlight w:val="none"/>
          <w:lang w:val="en-US" w:eastAsia="zh-CN"/>
        </w:rPr>
        <w:t>对</w:t>
      </w:r>
      <w:r>
        <w:rPr>
          <w:rFonts w:hint="eastAsia"/>
          <w:highlight w:val="none"/>
        </w:rPr>
        <w:t>以下设备设施的检测检验、维护保养</w:t>
      </w:r>
      <w:r>
        <w:rPr>
          <w:rFonts w:hint="eastAsia"/>
          <w:highlight w:val="none"/>
          <w:lang w:val="en-US" w:eastAsia="zh-CN"/>
        </w:rPr>
        <w:t>进行评价</w:t>
      </w:r>
      <w:r>
        <w:rPr>
          <w:rFonts w:hint="eastAsia"/>
          <w:highlight w:val="none"/>
        </w:rPr>
        <w:t>：</w:t>
      </w:r>
    </w:p>
    <w:p w14:paraId="264AADAD">
      <w:pPr>
        <w:pStyle w:val="145"/>
        <w:numPr>
          <w:ilvl w:val="0"/>
          <w:numId w:val="32"/>
        </w:numPr>
        <w:tabs>
          <w:tab w:val="left" w:pos="839"/>
        </w:tabs>
        <w:rPr>
          <w:highlight w:val="none"/>
        </w:rPr>
      </w:pPr>
      <w:r>
        <w:rPr>
          <w:rFonts w:hint="eastAsia"/>
          <w:highlight w:val="none"/>
        </w:rPr>
        <w:t>海洋石油作业设施（钻井船、</w:t>
      </w:r>
      <w:r>
        <w:rPr>
          <w:rFonts w:hint="eastAsia"/>
          <w:highlight w:val="none"/>
          <w:lang w:val="en-US" w:eastAsia="zh-CN"/>
        </w:rPr>
        <w:t>海上移动式钻采平台</w:t>
      </w:r>
      <w:r>
        <w:rPr>
          <w:rFonts w:hint="eastAsia"/>
          <w:highlight w:val="none"/>
        </w:rPr>
        <w:t>等）；</w:t>
      </w:r>
    </w:p>
    <w:p w14:paraId="20AACA31">
      <w:pPr>
        <w:pStyle w:val="145"/>
        <w:numPr>
          <w:ilvl w:val="0"/>
          <w:numId w:val="32"/>
        </w:numPr>
        <w:tabs>
          <w:tab w:val="left" w:pos="839"/>
        </w:tabs>
        <w:rPr>
          <w:highlight w:val="none"/>
        </w:rPr>
      </w:pPr>
      <w:r>
        <w:rPr>
          <w:rFonts w:hint="eastAsia"/>
          <w:highlight w:val="none"/>
        </w:rPr>
        <w:t>专业设备；</w:t>
      </w:r>
    </w:p>
    <w:p w14:paraId="3520E6BE">
      <w:pPr>
        <w:pStyle w:val="145"/>
        <w:numPr>
          <w:ilvl w:val="0"/>
          <w:numId w:val="32"/>
        </w:numPr>
        <w:tabs>
          <w:tab w:val="left" w:pos="839"/>
        </w:tabs>
        <w:rPr>
          <w:highlight w:val="none"/>
        </w:rPr>
      </w:pPr>
      <w:r>
        <w:rPr>
          <w:rFonts w:hint="eastAsia"/>
          <w:highlight w:val="none"/>
        </w:rPr>
        <w:t>其</w:t>
      </w:r>
      <w:r>
        <w:rPr>
          <w:rFonts w:hint="eastAsia"/>
          <w:highlight w:val="none"/>
          <w:lang w:val="en-US" w:eastAsia="zh-CN"/>
        </w:rPr>
        <w:t>他</w:t>
      </w:r>
      <w:r>
        <w:rPr>
          <w:rFonts w:hint="eastAsia"/>
          <w:highlight w:val="none"/>
        </w:rPr>
        <w:t>设备（与钻井作业有关的设备设施）。</w:t>
      </w:r>
    </w:p>
    <w:p w14:paraId="3091678E">
      <w:pPr>
        <w:snapToGrid w:val="0"/>
        <w:spacing w:before="156" w:beforeLines="50" w:after="156" w:afterLines="50"/>
        <w:outlineLvl w:val="1"/>
        <w:rPr>
          <w:rFonts w:hint="eastAsia" w:ascii="黑体" w:hAnsi="黑体" w:eastAsia="黑体" w:cs="黑体"/>
          <w:highlight w:val="none"/>
          <w:lang w:val="en-US" w:eastAsia="zh-CN"/>
        </w:rPr>
      </w:pPr>
      <w:bookmarkStart w:id="112" w:name="_Toc15397"/>
      <w:r>
        <w:rPr>
          <w:rFonts w:hint="eastAsia" w:ascii="宋体" w:hAnsi="宋体" w:eastAsia="宋体" w:cs="宋体"/>
          <w:b/>
          <w:bCs/>
          <w:highlight w:val="none"/>
          <w:lang w:val="en-US" w:eastAsia="zh-CN"/>
        </w:rPr>
        <w:t>9.</w:t>
      </w:r>
      <w:r>
        <w:rPr>
          <w:rFonts w:hint="eastAsia" w:ascii="宋体" w:hAnsi="宋体" w:cs="宋体"/>
          <w:b/>
          <w:bCs/>
          <w:highlight w:val="none"/>
          <w:lang w:val="en-US" w:eastAsia="zh-CN"/>
        </w:rPr>
        <w:t>4</w:t>
      </w:r>
      <w:r>
        <w:rPr>
          <w:rFonts w:hint="eastAsia" w:ascii="黑体" w:hAnsi="黑体" w:eastAsia="黑体" w:cs="黑体"/>
          <w:highlight w:val="none"/>
          <w:lang w:val="en-US" w:eastAsia="zh-CN"/>
        </w:rPr>
        <w:t>录井、测井设备设施评价</w:t>
      </w:r>
      <w:bookmarkEnd w:id="112"/>
    </w:p>
    <w:p w14:paraId="28CE250F">
      <w:pPr>
        <w:pStyle w:val="147"/>
        <w:ind w:firstLine="420"/>
        <w:rPr>
          <w:highlight w:val="none"/>
        </w:rPr>
      </w:pPr>
      <w:r>
        <w:rPr>
          <w:rFonts w:hint="eastAsia"/>
          <w:highlight w:val="none"/>
          <w:lang w:val="en-US" w:eastAsia="zh-CN"/>
        </w:rPr>
        <w:t>对</w:t>
      </w:r>
      <w:r>
        <w:rPr>
          <w:rFonts w:hint="eastAsia"/>
          <w:highlight w:val="none"/>
        </w:rPr>
        <w:t>以下设备</w:t>
      </w:r>
      <w:r>
        <w:rPr>
          <w:rFonts w:hint="eastAsia"/>
          <w:highlight w:val="none"/>
          <w:lang w:val="en-US" w:eastAsia="zh-CN"/>
        </w:rPr>
        <w:t>设施</w:t>
      </w:r>
      <w:r>
        <w:rPr>
          <w:rFonts w:hint="eastAsia"/>
          <w:highlight w:val="none"/>
        </w:rPr>
        <w:t>的检测检验、维护保养</w:t>
      </w:r>
      <w:r>
        <w:rPr>
          <w:rFonts w:hint="eastAsia"/>
          <w:highlight w:val="none"/>
          <w:lang w:val="en-US" w:eastAsia="zh-CN"/>
        </w:rPr>
        <w:t>进行评价</w:t>
      </w:r>
      <w:r>
        <w:rPr>
          <w:rFonts w:hint="eastAsia"/>
          <w:highlight w:val="none"/>
        </w:rPr>
        <w:t>：</w:t>
      </w:r>
    </w:p>
    <w:p w14:paraId="60E1D2E7">
      <w:pPr>
        <w:pStyle w:val="145"/>
        <w:numPr>
          <w:ilvl w:val="0"/>
          <w:numId w:val="33"/>
        </w:numPr>
        <w:tabs>
          <w:tab w:val="left" w:pos="839"/>
        </w:tabs>
        <w:rPr>
          <w:highlight w:val="none"/>
        </w:rPr>
      </w:pPr>
      <w:r>
        <w:rPr>
          <w:rFonts w:hint="eastAsia"/>
          <w:highlight w:val="none"/>
        </w:rPr>
        <w:t>专业设备；</w:t>
      </w:r>
    </w:p>
    <w:p w14:paraId="08DE773B">
      <w:pPr>
        <w:pStyle w:val="145"/>
        <w:numPr>
          <w:ilvl w:val="0"/>
          <w:numId w:val="33"/>
        </w:numPr>
        <w:tabs>
          <w:tab w:val="left" w:pos="839"/>
        </w:tabs>
        <w:rPr>
          <w:highlight w:val="none"/>
        </w:rPr>
      </w:pPr>
      <w:r>
        <w:rPr>
          <w:rFonts w:hint="eastAsia"/>
          <w:highlight w:val="none"/>
        </w:rPr>
        <w:t>其</w:t>
      </w:r>
      <w:r>
        <w:rPr>
          <w:rFonts w:hint="eastAsia"/>
          <w:highlight w:val="none"/>
          <w:lang w:val="en-US" w:eastAsia="zh-CN"/>
        </w:rPr>
        <w:t>他</w:t>
      </w:r>
      <w:r>
        <w:rPr>
          <w:rFonts w:hint="eastAsia"/>
          <w:highlight w:val="none"/>
        </w:rPr>
        <w:t>设备（正压防爆的工作间</w:t>
      </w:r>
      <w:r>
        <w:rPr>
          <w:rFonts w:hint="eastAsia"/>
          <w:highlight w:val="none"/>
          <w:lang w:val="en-US" w:eastAsia="zh-CN"/>
        </w:rPr>
        <w:t>，</w:t>
      </w:r>
      <w:r>
        <w:rPr>
          <w:rFonts w:hint="eastAsia"/>
          <w:highlight w:val="none"/>
        </w:rPr>
        <w:t>与</w:t>
      </w:r>
      <w:r>
        <w:rPr>
          <w:rFonts w:hint="eastAsia"/>
          <w:highlight w:val="none"/>
          <w:lang w:val="en-US" w:eastAsia="zh-CN"/>
        </w:rPr>
        <w:t>测井、录井</w:t>
      </w:r>
      <w:r>
        <w:rPr>
          <w:rFonts w:hint="eastAsia"/>
          <w:highlight w:val="none"/>
        </w:rPr>
        <w:t>作业有关的设备设施）。</w:t>
      </w:r>
    </w:p>
    <w:p w14:paraId="5EBDC63E">
      <w:pPr>
        <w:snapToGrid w:val="0"/>
        <w:spacing w:before="156" w:beforeLines="50" w:after="156" w:afterLines="50"/>
        <w:outlineLvl w:val="1"/>
        <w:rPr>
          <w:rFonts w:hint="eastAsia" w:ascii="黑体" w:hAnsi="黑体" w:eastAsia="黑体" w:cs="黑体"/>
          <w:highlight w:val="none"/>
          <w:lang w:val="en-US" w:eastAsia="zh-CN"/>
        </w:rPr>
      </w:pPr>
      <w:bookmarkStart w:id="113" w:name="_Toc11159"/>
      <w:r>
        <w:rPr>
          <w:rFonts w:hint="eastAsia" w:ascii="宋体" w:hAnsi="宋体" w:eastAsia="宋体" w:cs="宋体"/>
          <w:b/>
          <w:bCs/>
          <w:highlight w:val="none"/>
          <w:lang w:val="en-US" w:eastAsia="zh-CN"/>
        </w:rPr>
        <w:t>9.</w:t>
      </w:r>
      <w:r>
        <w:rPr>
          <w:rFonts w:hint="eastAsia" w:ascii="宋体" w:hAnsi="宋体" w:cs="宋体"/>
          <w:b/>
          <w:bCs/>
          <w:highlight w:val="none"/>
          <w:lang w:val="en-US" w:eastAsia="zh-CN"/>
        </w:rPr>
        <w:t>5</w:t>
      </w:r>
      <w:r>
        <w:rPr>
          <w:rFonts w:hint="eastAsia" w:ascii="黑体" w:hAnsi="黑体" w:eastAsia="黑体" w:cs="黑体"/>
          <w:highlight w:val="none"/>
          <w:lang w:val="en-US" w:eastAsia="zh-CN"/>
        </w:rPr>
        <w:t>井下作业设备设施评价</w:t>
      </w:r>
      <w:bookmarkEnd w:id="113"/>
    </w:p>
    <w:p w14:paraId="4ED58AFD">
      <w:pPr>
        <w:pStyle w:val="147"/>
        <w:ind w:firstLine="420"/>
        <w:rPr>
          <w:highlight w:val="none"/>
        </w:rPr>
      </w:pPr>
      <w:r>
        <w:rPr>
          <w:rFonts w:hint="eastAsia"/>
          <w:highlight w:val="none"/>
          <w:lang w:val="en-US" w:eastAsia="zh-CN"/>
        </w:rPr>
        <w:t>对</w:t>
      </w:r>
      <w:r>
        <w:rPr>
          <w:rFonts w:hint="eastAsia"/>
          <w:highlight w:val="none"/>
        </w:rPr>
        <w:t>以下设备</w:t>
      </w:r>
      <w:r>
        <w:rPr>
          <w:rFonts w:hint="eastAsia"/>
          <w:highlight w:val="none"/>
          <w:lang w:val="en-US" w:eastAsia="zh-CN"/>
        </w:rPr>
        <w:t>设施</w:t>
      </w:r>
      <w:r>
        <w:rPr>
          <w:rFonts w:hint="eastAsia"/>
          <w:highlight w:val="none"/>
        </w:rPr>
        <w:t>的检测检验、维护保养</w:t>
      </w:r>
      <w:r>
        <w:rPr>
          <w:rFonts w:hint="eastAsia"/>
          <w:highlight w:val="none"/>
          <w:lang w:val="en-US" w:eastAsia="zh-CN"/>
        </w:rPr>
        <w:t>进行评价</w:t>
      </w:r>
      <w:r>
        <w:rPr>
          <w:rFonts w:hint="eastAsia"/>
          <w:highlight w:val="none"/>
        </w:rPr>
        <w:t>：</w:t>
      </w:r>
    </w:p>
    <w:p w14:paraId="6CC7F271">
      <w:pPr>
        <w:pStyle w:val="145"/>
        <w:numPr>
          <w:ilvl w:val="0"/>
          <w:numId w:val="34"/>
        </w:numPr>
        <w:tabs>
          <w:tab w:val="left" w:pos="839"/>
        </w:tabs>
        <w:rPr>
          <w:highlight w:val="none"/>
        </w:rPr>
      </w:pP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海洋石油作业设施（海上移动式钻修井平台</w:t>
      </w:r>
      <w:r>
        <w:rPr>
          <w:rFonts w:hint="eastAsia" w:ascii="Times New Roman"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等</w:t>
      </w: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w:t>
      </w:r>
    </w:p>
    <w:p w14:paraId="7D5D6D5C">
      <w:pPr>
        <w:pStyle w:val="145"/>
        <w:numPr>
          <w:ilvl w:val="0"/>
          <w:numId w:val="34"/>
        </w:numPr>
        <w:tabs>
          <w:tab w:val="left" w:pos="839"/>
        </w:tabs>
        <w:rPr>
          <w:highlight w:val="none"/>
        </w:rPr>
      </w:pPr>
      <w:r>
        <w:rPr>
          <w:rFonts w:hint="eastAsia"/>
          <w:highlight w:val="none"/>
        </w:rPr>
        <w:t>专业设备；</w:t>
      </w:r>
    </w:p>
    <w:p w14:paraId="00A2DED2">
      <w:pPr>
        <w:pStyle w:val="145"/>
        <w:numPr>
          <w:ilvl w:val="0"/>
          <w:numId w:val="34"/>
        </w:numPr>
        <w:tabs>
          <w:tab w:val="left" w:pos="839"/>
        </w:tabs>
        <w:rPr>
          <w:highlight w:val="none"/>
        </w:rPr>
      </w:pPr>
      <w:r>
        <w:rPr>
          <w:rFonts w:hint="eastAsia"/>
          <w:highlight w:val="none"/>
        </w:rPr>
        <w:t>其</w:t>
      </w:r>
      <w:r>
        <w:rPr>
          <w:rFonts w:hint="eastAsia"/>
          <w:highlight w:val="none"/>
          <w:lang w:val="en-US" w:eastAsia="zh-CN"/>
        </w:rPr>
        <w:t>他</w:t>
      </w:r>
      <w:r>
        <w:rPr>
          <w:rFonts w:hint="eastAsia"/>
          <w:highlight w:val="none"/>
        </w:rPr>
        <w:t>设备（与井下作业有关的设备设施）。</w:t>
      </w:r>
    </w:p>
    <w:p w14:paraId="7DA32C4C">
      <w:pPr>
        <w:snapToGrid w:val="0"/>
        <w:spacing w:before="156" w:beforeLines="50" w:after="156" w:afterLines="50"/>
        <w:outlineLvl w:val="1"/>
        <w:rPr>
          <w:rFonts w:hint="eastAsia" w:ascii="黑体" w:hAnsi="黑体" w:eastAsia="黑体" w:cs="黑体"/>
          <w:highlight w:val="none"/>
          <w:lang w:val="en-US" w:eastAsia="zh-CN"/>
        </w:rPr>
      </w:pPr>
      <w:bookmarkStart w:id="114" w:name="_Toc13117"/>
      <w:r>
        <w:rPr>
          <w:rFonts w:hint="eastAsia" w:ascii="宋体" w:hAnsi="宋体" w:eastAsia="宋体" w:cs="宋体"/>
          <w:b/>
          <w:bCs/>
          <w:highlight w:val="none"/>
          <w:lang w:val="en-US" w:eastAsia="zh-CN"/>
        </w:rPr>
        <w:t>9.</w:t>
      </w:r>
      <w:r>
        <w:rPr>
          <w:rFonts w:hint="eastAsia" w:ascii="宋体" w:hAnsi="宋体" w:cs="宋体"/>
          <w:b/>
          <w:bCs/>
          <w:highlight w:val="none"/>
          <w:lang w:val="en-US" w:eastAsia="zh-CN"/>
        </w:rPr>
        <w:t>6</w:t>
      </w:r>
      <w:r>
        <w:rPr>
          <w:rFonts w:hint="eastAsia" w:ascii="黑体" w:hAnsi="黑体" w:eastAsia="黑体" w:cs="黑体"/>
          <w:highlight w:val="none"/>
          <w:lang w:val="en-US" w:eastAsia="zh-CN"/>
        </w:rPr>
        <w:t>海油工程设备设施评价</w:t>
      </w:r>
      <w:bookmarkEnd w:id="114"/>
    </w:p>
    <w:p w14:paraId="5F715316">
      <w:pPr>
        <w:pStyle w:val="147"/>
        <w:ind w:firstLine="420"/>
        <w:rPr>
          <w:highlight w:val="none"/>
        </w:rPr>
      </w:pPr>
      <w:r>
        <w:rPr>
          <w:rFonts w:hint="eastAsia"/>
          <w:highlight w:val="none"/>
          <w:lang w:val="en-US" w:eastAsia="zh-CN"/>
        </w:rPr>
        <w:t>对</w:t>
      </w:r>
      <w:r>
        <w:rPr>
          <w:rFonts w:hint="eastAsia"/>
          <w:highlight w:val="none"/>
        </w:rPr>
        <w:t>以下设备</w:t>
      </w:r>
      <w:r>
        <w:rPr>
          <w:rFonts w:hint="eastAsia"/>
          <w:highlight w:val="none"/>
          <w:lang w:val="en-US" w:eastAsia="zh-CN"/>
        </w:rPr>
        <w:t>设施</w:t>
      </w:r>
      <w:r>
        <w:rPr>
          <w:rFonts w:hint="eastAsia"/>
          <w:highlight w:val="none"/>
        </w:rPr>
        <w:t>的检测检验、维护保养</w:t>
      </w:r>
      <w:r>
        <w:rPr>
          <w:rFonts w:hint="eastAsia"/>
          <w:highlight w:val="none"/>
          <w:lang w:val="en-US" w:eastAsia="zh-CN"/>
        </w:rPr>
        <w:t>进行评价</w:t>
      </w:r>
      <w:r>
        <w:rPr>
          <w:rFonts w:hint="eastAsia"/>
          <w:highlight w:val="none"/>
        </w:rPr>
        <w:t>：</w:t>
      </w:r>
    </w:p>
    <w:p w14:paraId="3BB219D0">
      <w:pPr>
        <w:pStyle w:val="145"/>
        <w:numPr>
          <w:ilvl w:val="0"/>
          <w:numId w:val="35"/>
        </w:numPr>
        <w:tabs>
          <w:tab w:val="left" w:pos="839"/>
        </w:tabs>
        <w:rPr>
          <w:highlight w:val="none"/>
        </w:rPr>
      </w:pPr>
      <w:r>
        <w:rPr>
          <w:rFonts w:hint="eastAsia"/>
          <w:highlight w:val="none"/>
        </w:rPr>
        <w:t>海洋石油作业设施（</w:t>
      </w:r>
      <w:r>
        <w:rPr>
          <w:rFonts w:hint="eastAsia"/>
          <w:highlight w:val="none"/>
          <w:lang w:val="en-US" w:eastAsia="zh-CN"/>
        </w:rPr>
        <w:t>起重船</w:t>
      </w:r>
      <w:r>
        <w:rPr>
          <w:rFonts w:hint="eastAsia"/>
          <w:highlight w:val="none"/>
        </w:rPr>
        <w:t>、铺管船等）；</w:t>
      </w:r>
    </w:p>
    <w:p w14:paraId="1D3ACA97">
      <w:pPr>
        <w:pStyle w:val="145"/>
        <w:numPr>
          <w:ilvl w:val="0"/>
          <w:numId w:val="35"/>
        </w:numPr>
        <w:tabs>
          <w:tab w:val="left" w:pos="839"/>
        </w:tabs>
        <w:rPr>
          <w:highlight w:val="none"/>
        </w:rPr>
      </w:pPr>
      <w:r>
        <w:rPr>
          <w:rFonts w:hint="eastAsia"/>
          <w:highlight w:val="none"/>
        </w:rPr>
        <w:t>专业设备；</w:t>
      </w:r>
    </w:p>
    <w:p w14:paraId="4F312EDE">
      <w:pPr>
        <w:pStyle w:val="145"/>
        <w:numPr>
          <w:ilvl w:val="0"/>
          <w:numId w:val="33"/>
        </w:numPr>
        <w:tabs>
          <w:tab w:val="left" w:pos="839"/>
        </w:tabs>
        <w:rPr>
          <w:highlight w:val="none"/>
        </w:rPr>
      </w:pPr>
      <w:r>
        <w:rPr>
          <w:rFonts w:hint="eastAsia"/>
          <w:highlight w:val="none"/>
        </w:rPr>
        <w:t>其</w:t>
      </w:r>
      <w:r>
        <w:rPr>
          <w:rFonts w:hint="eastAsia"/>
          <w:highlight w:val="none"/>
          <w:lang w:val="en-US" w:eastAsia="zh-CN"/>
        </w:rPr>
        <w:t>他</w:t>
      </w:r>
      <w:r>
        <w:rPr>
          <w:rFonts w:hint="eastAsia"/>
          <w:highlight w:val="none"/>
        </w:rPr>
        <w:t>设备（</w:t>
      </w:r>
      <w:r>
        <w:rPr>
          <w:rFonts w:hint="eastAsia"/>
          <w:highlight w:val="none"/>
          <w:lang w:eastAsia="zh-CN"/>
        </w:rPr>
        <w:t>铺管船的张紧器及其控制系统、管线收放绞车，</w:t>
      </w:r>
      <w:r>
        <w:rPr>
          <w:rFonts w:hint="eastAsia"/>
          <w:highlight w:val="none"/>
          <w:lang w:val="en-US" w:eastAsia="zh-CN"/>
        </w:rPr>
        <w:t>其他</w:t>
      </w:r>
      <w:r>
        <w:rPr>
          <w:rFonts w:hint="eastAsia"/>
          <w:highlight w:val="none"/>
        </w:rPr>
        <w:t>与海油工程有关的设备设施）。</w:t>
      </w:r>
    </w:p>
    <w:p w14:paraId="12629E42">
      <w:pPr>
        <w:pStyle w:val="73"/>
        <w:adjustRightInd w:val="0"/>
        <w:snapToGrid w:val="0"/>
        <w:spacing w:before="326" w:beforeLines="100" w:after="326" w:afterLines="100"/>
        <w:outlineLvl w:val="0"/>
        <w:rPr>
          <w:rFonts w:hint="eastAsia" w:ascii="黑体" w:hAnsi="黑体" w:eastAsia="黑体" w:cs="黑体"/>
          <w:bCs/>
          <w:color w:val="000000"/>
          <w:szCs w:val="21"/>
          <w:highlight w:val="none"/>
          <w:lang w:val="en-US" w:eastAsia="zh-CN"/>
        </w:rPr>
      </w:pPr>
      <w:bookmarkStart w:id="115" w:name="_Toc26698"/>
      <w:r>
        <w:rPr>
          <w:rFonts w:hint="eastAsia" w:ascii="黑体" w:hAnsi="黑体" w:eastAsia="黑体" w:cs="黑体"/>
          <w:bCs/>
          <w:color w:val="000000"/>
          <w:szCs w:val="21"/>
          <w:highlight w:val="none"/>
          <w:lang w:val="en-US" w:eastAsia="zh-CN"/>
        </w:rPr>
        <w:t>生产作业</w:t>
      </w:r>
      <w:r>
        <w:rPr>
          <w:rFonts w:hint="eastAsia" w:hAnsi="黑体" w:cs="黑体"/>
          <w:bCs/>
          <w:color w:val="000000"/>
          <w:szCs w:val="21"/>
          <w:highlight w:val="none"/>
          <w:lang w:val="en-US" w:eastAsia="zh-CN"/>
        </w:rPr>
        <w:t>活动</w:t>
      </w:r>
      <w:r>
        <w:rPr>
          <w:rFonts w:hint="eastAsia" w:ascii="黑体" w:hAnsi="黑体" w:eastAsia="黑体" w:cs="黑体"/>
          <w:bCs/>
          <w:color w:val="000000"/>
          <w:szCs w:val="21"/>
          <w:highlight w:val="none"/>
          <w:lang w:val="en-US" w:eastAsia="zh-CN"/>
        </w:rPr>
        <w:t>单元评价</w:t>
      </w:r>
      <w:bookmarkEnd w:id="115"/>
    </w:p>
    <w:p w14:paraId="6A1117FB">
      <w:pPr>
        <w:snapToGrid w:val="0"/>
        <w:spacing w:before="156" w:beforeLines="50" w:after="156" w:afterLines="50"/>
        <w:outlineLvl w:val="1"/>
        <w:rPr>
          <w:rFonts w:hint="default" w:ascii="黑体" w:hAnsi="黑体" w:eastAsia="黑体" w:cs="黑体"/>
          <w:highlight w:val="none"/>
          <w:lang w:val="en-US" w:eastAsia="zh-CN"/>
        </w:rPr>
      </w:pPr>
      <w:bookmarkStart w:id="116" w:name="_Toc15190"/>
      <w:r>
        <w:rPr>
          <w:rFonts w:hint="eastAsia" w:ascii="宋体" w:hAnsi="宋体" w:eastAsia="宋体" w:cs="宋体"/>
          <w:b/>
          <w:bCs/>
          <w:highlight w:val="none"/>
          <w:lang w:val="en-US" w:eastAsia="zh-CN"/>
        </w:rPr>
        <w:t>10.1</w:t>
      </w:r>
      <w:r>
        <w:rPr>
          <w:rFonts w:hint="eastAsia" w:ascii="黑体" w:hAnsi="黑体" w:eastAsia="黑体" w:cs="黑体"/>
          <w:highlight w:val="none"/>
          <w:lang w:val="en-US" w:eastAsia="zh-CN"/>
        </w:rPr>
        <w:t>海上采油（气）及管道储运作业活动单元评价</w:t>
      </w:r>
      <w:bookmarkEnd w:id="116"/>
    </w:p>
    <w:p w14:paraId="580A869A">
      <w:pPr>
        <w:pStyle w:val="147"/>
        <w:ind w:firstLine="420"/>
        <w:rPr>
          <w:rFonts w:hint="default"/>
          <w:szCs w:val="24"/>
          <w:highlight w:val="none"/>
          <w:lang w:val="en-US" w:eastAsia="zh-CN"/>
        </w:rPr>
      </w:pPr>
      <w:r>
        <w:rPr>
          <w:rFonts w:hint="eastAsia"/>
          <w:szCs w:val="24"/>
          <w:highlight w:val="none"/>
          <w:lang w:val="en-US" w:eastAsia="zh-CN"/>
        </w:rPr>
        <w:t>对海上采油（气）作业、注入作业、</w:t>
      </w:r>
      <w:r>
        <w:rPr>
          <w:rFonts w:hint="eastAsia"/>
          <w:szCs w:val="24"/>
          <w:highlight w:val="none"/>
        </w:rPr>
        <w:t>油（气）外输作业</w:t>
      </w:r>
      <w:r>
        <w:rPr>
          <w:rFonts w:hint="eastAsia"/>
          <w:szCs w:val="24"/>
          <w:highlight w:val="none"/>
          <w:lang w:eastAsia="zh-CN"/>
        </w:rPr>
        <w:t>、</w:t>
      </w:r>
      <w:r>
        <w:rPr>
          <w:rFonts w:hint="eastAsia"/>
          <w:szCs w:val="24"/>
          <w:highlight w:val="none"/>
          <w:lang w:val="en-US" w:eastAsia="zh-CN"/>
        </w:rPr>
        <w:t>钻（修）井作业和</w:t>
      </w:r>
      <w:r>
        <w:rPr>
          <w:rFonts w:hint="eastAsia"/>
          <w:highlight w:val="none"/>
          <w:lang w:val="en-US" w:eastAsia="zh-CN"/>
        </w:rPr>
        <w:t>陆岸</w:t>
      </w:r>
      <w:r>
        <w:rPr>
          <w:rFonts w:hint="eastAsia"/>
          <w:highlight w:val="none"/>
        </w:rPr>
        <w:t>终端装卸车作业</w:t>
      </w:r>
      <w:r>
        <w:rPr>
          <w:rFonts w:hint="eastAsia"/>
          <w:szCs w:val="24"/>
          <w:highlight w:val="none"/>
          <w:lang w:val="en-US" w:eastAsia="zh-CN"/>
        </w:rPr>
        <w:t>等进行评价。</w:t>
      </w:r>
    </w:p>
    <w:p w14:paraId="0E69E503">
      <w:pPr>
        <w:snapToGrid w:val="0"/>
        <w:spacing w:before="156" w:beforeLines="50" w:after="156" w:afterLines="50"/>
        <w:outlineLvl w:val="1"/>
        <w:rPr>
          <w:rFonts w:hint="eastAsia" w:ascii="黑体" w:hAnsi="黑体" w:eastAsia="黑体" w:cs="黑体"/>
          <w:highlight w:val="none"/>
          <w:lang w:val="en-US" w:eastAsia="zh-CN"/>
        </w:rPr>
      </w:pPr>
      <w:bookmarkStart w:id="117" w:name="_Toc10512"/>
      <w:r>
        <w:rPr>
          <w:rFonts w:hint="eastAsia" w:ascii="宋体" w:hAnsi="宋体" w:cs="宋体"/>
          <w:b/>
          <w:bCs/>
          <w:highlight w:val="none"/>
          <w:lang w:val="en-US" w:eastAsia="zh-CN"/>
        </w:rPr>
        <w:t>10</w:t>
      </w:r>
      <w:r>
        <w:rPr>
          <w:rFonts w:hint="eastAsia" w:ascii="宋体" w:hAnsi="宋体" w:eastAsia="宋体" w:cs="宋体"/>
          <w:b/>
          <w:bCs/>
          <w:highlight w:val="none"/>
          <w:lang w:val="en-US" w:eastAsia="zh-CN"/>
        </w:rPr>
        <w:t>.</w:t>
      </w:r>
      <w:r>
        <w:rPr>
          <w:rFonts w:hint="eastAsia" w:ascii="宋体" w:hAnsi="宋体" w:cs="宋体"/>
          <w:b/>
          <w:bCs/>
          <w:highlight w:val="none"/>
          <w:lang w:val="en-US" w:eastAsia="zh-CN"/>
        </w:rPr>
        <w:t>2</w:t>
      </w:r>
      <w:r>
        <w:rPr>
          <w:rFonts w:hint="eastAsia" w:ascii="黑体" w:hAnsi="黑体" w:eastAsia="黑体" w:cs="黑体"/>
          <w:highlight w:val="none"/>
          <w:lang w:val="en-US" w:eastAsia="zh-CN"/>
        </w:rPr>
        <w:t>物探作业活动单元评价</w:t>
      </w:r>
      <w:bookmarkEnd w:id="117"/>
    </w:p>
    <w:p w14:paraId="498A4128">
      <w:pPr>
        <w:pStyle w:val="147"/>
        <w:ind w:firstLine="420"/>
        <w:rPr>
          <w:highlight w:val="none"/>
        </w:rPr>
      </w:pPr>
      <w:r>
        <w:rPr>
          <w:rFonts w:hint="eastAsia"/>
          <w:highlight w:val="none"/>
          <w:lang w:val="en-US" w:eastAsia="zh-CN"/>
        </w:rPr>
        <w:t>对</w:t>
      </w:r>
      <w:r>
        <w:rPr>
          <w:rFonts w:hint="eastAsia"/>
          <w:highlight w:val="none"/>
        </w:rPr>
        <w:t>物探相关的船舶作业、测量作业、收放线作业、震源作业、钻</w:t>
      </w:r>
      <w:r>
        <w:rPr>
          <w:rFonts w:hint="eastAsia"/>
          <w:highlight w:val="none"/>
          <w:lang w:val="en-US" w:eastAsia="zh-CN"/>
        </w:rPr>
        <w:t>孔</w:t>
      </w:r>
      <w:r>
        <w:rPr>
          <w:rFonts w:hint="eastAsia"/>
          <w:highlight w:val="none"/>
        </w:rPr>
        <w:t>作业等</w:t>
      </w:r>
      <w:r>
        <w:rPr>
          <w:rFonts w:hint="eastAsia"/>
          <w:highlight w:val="none"/>
          <w:lang w:val="en-US" w:eastAsia="zh-CN"/>
        </w:rPr>
        <w:t>进行评价。</w:t>
      </w:r>
    </w:p>
    <w:p w14:paraId="4C445287">
      <w:pPr>
        <w:snapToGrid w:val="0"/>
        <w:spacing w:before="156" w:beforeLines="50" w:after="156" w:afterLines="50"/>
        <w:outlineLvl w:val="1"/>
        <w:rPr>
          <w:rFonts w:hint="eastAsia" w:ascii="黑体" w:hAnsi="黑体" w:eastAsia="黑体" w:cs="黑体"/>
          <w:highlight w:val="none"/>
          <w:lang w:val="en-US" w:eastAsia="zh-CN"/>
        </w:rPr>
      </w:pPr>
      <w:bookmarkStart w:id="118" w:name="_Toc13046"/>
      <w:r>
        <w:rPr>
          <w:rFonts w:hint="eastAsia" w:ascii="宋体" w:hAnsi="宋体" w:cs="宋体"/>
          <w:b/>
          <w:bCs/>
          <w:highlight w:val="none"/>
          <w:lang w:val="en-US" w:eastAsia="zh-CN"/>
        </w:rPr>
        <w:t>10</w:t>
      </w:r>
      <w:r>
        <w:rPr>
          <w:rFonts w:hint="eastAsia" w:ascii="宋体" w:hAnsi="宋体" w:eastAsia="宋体" w:cs="宋体"/>
          <w:b/>
          <w:bCs/>
          <w:highlight w:val="none"/>
          <w:lang w:val="en-US" w:eastAsia="zh-CN"/>
        </w:rPr>
        <w:t>.</w:t>
      </w:r>
      <w:r>
        <w:rPr>
          <w:rFonts w:hint="eastAsia" w:ascii="宋体" w:hAnsi="宋体" w:cs="宋体"/>
          <w:b/>
          <w:bCs/>
          <w:highlight w:val="none"/>
          <w:lang w:val="en-US" w:eastAsia="zh-CN"/>
        </w:rPr>
        <w:t>3</w:t>
      </w:r>
      <w:r>
        <w:rPr>
          <w:rFonts w:hint="eastAsia" w:ascii="黑体" w:hAnsi="黑体" w:eastAsia="黑体" w:cs="黑体"/>
          <w:highlight w:val="none"/>
          <w:lang w:val="en-US" w:eastAsia="zh-CN"/>
        </w:rPr>
        <w:t>钻井作业活动单元评价</w:t>
      </w:r>
      <w:bookmarkEnd w:id="118"/>
    </w:p>
    <w:p w14:paraId="68AB7392">
      <w:pPr>
        <w:pStyle w:val="147"/>
        <w:ind w:firstLine="420"/>
        <w:rPr>
          <w:highlight w:val="none"/>
        </w:rPr>
      </w:pPr>
      <w:r>
        <w:rPr>
          <w:rFonts w:hint="eastAsia"/>
          <w:highlight w:val="none"/>
          <w:lang w:val="en-US" w:eastAsia="zh-CN"/>
        </w:rPr>
        <w:t>对</w:t>
      </w:r>
      <w:r>
        <w:rPr>
          <w:rFonts w:hint="eastAsia"/>
          <w:highlight w:val="none"/>
        </w:rPr>
        <w:t>钻井相关的拖航就位、</w:t>
      </w:r>
      <w:r>
        <w:rPr>
          <w:highlight w:val="none"/>
        </w:rPr>
        <w:t>钻开油气层</w:t>
      </w:r>
      <w:r>
        <w:rPr>
          <w:rFonts w:hint="eastAsia"/>
          <w:highlight w:val="none"/>
        </w:rPr>
        <w:t>、固井作业、弃井作业等</w:t>
      </w:r>
      <w:r>
        <w:rPr>
          <w:rFonts w:hint="eastAsia" w:hAnsi="宋体"/>
          <w:szCs w:val="21"/>
          <w:highlight w:val="none"/>
          <w:lang w:val="en-US" w:eastAsia="zh-CN"/>
        </w:rPr>
        <w:t>进行评价。</w:t>
      </w:r>
    </w:p>
    <w:p w14:paraId="10550F56">
      <w:pPr>
        <w:snapToGrid w:val="0"/>
        <w:spacing w:before="156" w:beforeLines="50" w:after="156" w:afterLines="50"/>
        <w:outlineLvl w:val="1"/>
        <w:rPr>
          <w:rFonts w:hint="eastAsia" w:ascii="黑体" w:hAnsi="黑体" w:eastAsia="黑体" w:cs="黑体"/>
          <w:highlight w:val="none"/>
          <w:lang w:val="en-US" w:eastAsia="zh-CN"/>
        </w:rPr>
      </w:pPr>
      <w:bookmarkStart w:id="119" w:name="_Toc17651"/>
      <w:r>
        <w:rPr>
          <w:rFonts w:hint="eastAsia" w:ascii="宋体" w:hAnsi="宋体" w:cs="宋体"/>
          <w:b/>
          <w:bCs/>
          <w:highlight w:val="none"/>
          <w:lang w:val="en-US" w:eastAsia="zh-CN"/>
        </w:rPr>
        <w:t>10.4</w:t>
      </w:r>
      <w:r>
        <w:rPr>
          <w:rFonts w:hint="eastAsia" w:ascii="黑体" w:hAnsi="黑体" w:eastAsia="黑体" w:cs="黑体"/>
          <w:highlight w:val="none"/>
          <w:lang w:val="en-US" w:eastAsia="zh-CN"/>
        </w:rPr>
        <w:t>录井、测井作业活动单元评价</w:t>
      </w:r>
      <w:bookmarkEnd w:id="119"/>
    </w:p>
    <w:p w14:paraId="140C1CD5">
      <w:pPr>
        <w:pStyle w:val="147"/>
        <w:ind w:firstLine="420"/>
        <w:rPr>
          <w:rFonts w:hint="default"/>
          <w:highlight w:val="none"/>
          <w:lang w:val="en-US"/>
        </w:rPr>
      </w:pPr>
      <w:r>
        <w:rPr>
          <w:rFonts w:hint="eastAsia"/>
          <w:highlight w:val="none"/>
          <w:lang w:val="en-US" w:eastAsia="zh-CN"/>
        </w:rPr>
        <w:t>对</w:t>
      </w:r>
      <w:r>
        <w:rPr>
          <w:rFonts w:hint="eastAsia"/>
          <w:highlight w:val="none"/>
        </w:rPr>
        <w:t>录井、</w:t>
      </w:r>
      <w:r>
        <w:rPr>
          <w:rFonts w:hint="eastAsia"/>
          <w:highlight w:val="none"/>
          <w:lang w:val="en-US" w:eastAsia="zh-CN"/>
        </w:rPr>
        <w:t>裸眼测井、生产测井、射孔、</w:t>
      </w:r>
      <w:r>
        <w:rPr>
          <w:rFonts w:hint="eastAsia"/>
          <w:highlight w:val="none"/>
        </w:rPr>
        <w:t>放射源作业等</w:t>
      </w:r>
      <w:r>
        <w:rPr>
          <w:rFonts w:hint="eastAsia"/>
          <w:highlight w:val="none"/>
          <w:lang w:val="en-US" w:eastAsia="zh-CN"/>
        </w:rPr>
        <w:t>进行评价。</w:t>
      </w:r>
    </w:p>
    <w:p w14:paraId="1ECCCB5C">
      <w:pPr>
        <w:snapToGrid w:val="0"/>
        <w:spacing w:before="156" w:beforeLines="50" w:after="156" w:afterLines="50"/>
        <w:outlineLvl w:val="1"/>
        <w:rPr>
          <w:rFonts w:hint="eastAsia" w:ascii="黑体" w:hAnsi="黑体" w:eastAsia="黑体" w:cs="黑体"/>
          <w:highlight w:val="none"/>
          <w:lang w:val="en-US" w:eastAsia="zh-CN"/>
        </w:rPr>
      </w:pPr>
      <w:bookmarkStart w:id="120" w:name="_Toc17693"/>
      <w:r>
        <w:rPr>
          <w:rFonts w:hint="eastAsia" w:ascii="宋体" w:hAnsi="宋体" w:cs="宋体"/>
          <w:b/>
          <w:bCs/>
          <w:highlight w:val="none"/>
          <w:lang w:val="en-US" w:eastAsia="zh-CN"/>
        </w:rPr>
        <w:t>10.5</w:t>
      </w:r>
      <w:r>
        <w:rPr>
          <w:rFonts w:hint="eastAsia" w:ascii="黑体" w:hAnsi="黑体" w:eastAsia="黑体" w:cs="黑体"/>
          <w:highlight w:val="none"/>
          <w:lang w:val="en-US" w:eastAsia="zh-CN"/>
        </w:rPr>
        <w:t>井下作业活动单元评价</w:t>
      </w:r>
      <w:bookmarkEnd w:id="120"/>
    </w:p>
    <w:p w14:paraId="026576AC">
      <w:pPr>
        <w:pStyle w:val="147"/>
        <w:ind w:firstLine="420"/>
        <w:rPr>
          <w:highlight w:val="none"/>
        </w:rPr>
      </w:pPr>
      <w:r>
        <w:rPr>
          <w:rFonts w:hint="eastAsia"/>
          <w:highlight w:val="none"/>
          <w:lang w:val="en-US" w:eastAsia="zh-CN"/>
        </w:rPr>
        <w:t>对</w:t>
      </w:r>
      <w:r>
        <w:rPr>
          <w:rFonts w:hint="eastAsia"/>
          <w:kern w:val="2"/>
          <w:highlight w:val="none"/>
        </w:rPr>
        <w:t>试油（气）</w:t>
      </w:r>
      <w:r>
        <w:rPr>
          <w:rFonts w:hint="eastAsia"/>
          <w:kern w:val="2"/>
          <w:highlight w:val="none"/>
          <w:lang w:val="en-US" w:eastAsia="zh-CN"/>
        </w:rPr>
        <w:t>作业</w:t>
      </w:r>
      <w:r>
        <w:rPr>
          <w:rFonts w:hint="eastAsia"/>
          <w:kern w:val="2"/>
          <w:highlight w:val="none"/>
        </w:rPr>
        <w:t>、修井</w:t>
      </w:r>
      <w:r>
        <w:rPr>
          <w:rFonts w:hint="eastAsia"/>
          <w:kern w:val="2"/>
          <w:highlight w:val="none"/>
          <w:lang w:eastAsia="zh-CN"/>
        </w:rPr>
        <w:t>（</w:t>
      </w:r>
      <w:r>
        <w:rPr>
          <w:rFonts w:hint="eastAsia"/>
          <w:kern w:val="2"/>
          <w:highlight w:val="none"/>
        </w:rPr>
        <w:t>侧钻</w:t>
      </w:r>
      <w:r>
        <w:rPr>
          <w:rFonts w:hint="eastAsia"/>
          <w:kern w:val="2"/>
          <w:highlight w:val="none"/>
          <w:lang w:eastAsia="zh-CN"/>
        </w:rPr>
        <w:t>）</w:t>
      </w:r>
      <w:r>
        <w:rPr>
          <w:rFonts w:hint="eastAsia"/>
          <w:kern w:val="2"/>
          <w:highlight w:val="none"/>
          <w:lang w:val="en-US" w:eastAsia="zh-CN"/>
        </w:rPr>
        <w:t>作业</w:t>
      </w:r>
      <w:r>
        <w:rPr>
          <w:rFonts w:hint="eastAsia"/>
          <w:kern w:val="2"/>
          <w:highlight w:val="none"/>
        </w:rPr>
        <w:t>、压裂（酸化）</w:t>
      </w:r>
      <w:r>
        <w:rPr>
          <w:rFonts w:hint="eastAsia"/>
          <w:kern w:val="2"/>
          <w:highlight w:val="none"/>
          <w:lang w:val="en-US" w:eastAsia="zh-CN"/>
        </w:rPr>
        <w:t>作业</w:t>
      </w:r>
      <w:r>
        <w:rPr>
          <w:rFonts w:hint="eastAsia"/>
          <w:kern w:val="2"/>
          <w:highlight w:val="none"/>
        </w:rPr>
        <w:t>、测试</w:t>
      </w:r>
      <w:r>
        <w:rPr>
          <w:rFonts w:hint="eastAsia"/>
          <w:kern w:val="2"/>
          <w:highlight w:val="none"/>
          <w:lang w:val="en-US" w:eastAsia="zh-CN"/>
        </w:rPr>
        <w:t>作业</w:t>
      </w:r>
      <w:r>
        <w:rPr>
          <w:rFonts w:hint="eastAsia"/>
          <w:kern w:val="2"/>
          <w:highlight w:val="none"/>
        </w:rPr>
        <w:t>、稠油试采</w:t>
      </w:r>
      <w:r>
        <w:rPr>
          <w:rFonts w:hint="eastAsia"/>
          <w:kern w:val="2"/>
          <w:highlight w:val="none"/>
          <w:lang w:val="en-US" w:eastAsia="zh-CN"/>
        </w:rPr>
        <w:t>作业</w:t>
      </w:r>
      <w:r>
        <w:rPr>
          <w:rFonts w:hint="eastAsia"/>
          <w:kern w:val="2"/>
          <w:highlight w:val="none"/>
        </w:rPr>
        <w:t>等</w:t>
      </w:r>
      <w:r>
        <w:rPr>
          <w:rFonts w:hint="eastAsia"/>
          <w:kern w:val="2"/>
          <w:highlight w:val="none"/>
          <w:lang w:val="en-US" w:eastAsia="zh-CN"/>
        </w:rPr>
        <w:t>进行评价。</w:t>
      </w:r>
    </w:p>
    <w:p w14:paraId="2C897220">
      <w:pPr>
        <w:snapToGrid w:val="0"/>
        <w:spacing w:before="156" w:beforeLines="50" w:after="156" w:afterLines="50"/>
        <w:outlineLvl w:val="1"/>
        <w:rPr>
          <w:rFonts w:hint="eastAsia" w:ascii="黑体" w:hAnsi="黑体" w:eastAsia="黑体" w:cs="黑体"/>
          <w:highlight w:val="none"/>
          <w:lang w:val="en-US" w:eastAsia="zh-CN"/>
        </w:rPr>
      </w:pPr>
      <w:bookmarkStart w:id="121" w:name="_Toc4778"/>
      <w:r>
        <w:rPr>
          <w:rFonts w:hint="eastAsia" w:ascii="宋体" w:hAnsi="宋体" w:cs="宋体"/>
          <w:b/>
          <w:bCs/>
          <w:highlight w:val="none"/>
          <w:lang w:val="en-US" w:eastAsia="zh-CN"/>
        </w:rPr>
        <w:t>10.6</w:t>
      </w:r>
      <w:r>
        <w:rPr>
          <w:rFonts w:hint="eastAsia" w:ascii="黑体" w:hAnsi="黑体" w:eastAsia="黑体" w:cs="黑体"/>
          <w:highlight w:val="none"/>
          <w:lang w:val="en-US" w:eastAsia="zh-CN"/>
        </w:rPr>
        <w:t>海油工程作业活动单元评价</w:t>
      </w:r>
      <w:bookmarkEnd w:id="121"/>
    </w:p>
    <w:p w14:paraId="3F904A2F">
      <w:pPr>
        <w:pStyle w:val="147"/>
        <w:ind w:firstLine="420"/>
        <w:rPr>
          <w:highlight w:val="none"/>
        </w:rPr>
      </w:pPr>
      <w:r>
        <w:rPr>
          <w:rFonts w:hint="eastAsia"/>
          <w:highlight w:val="none"/>
          <w:lang w:val="en-US" w:eastAsia="zh-CN"/>
        </w:rPr>
        <w:t>对</w:t>
      </w:r>
      <w:r>
        <w:rPr>
          <w:rFonts w:hint="eastAsia"/>
          <w:highlight w:val="none"/>
        </w:rPr>
        <w:t>拖航</w:t>
      </w:r>
      <w:r>
        <w:rPr>
          <w:rFonts w:hint="eastAsia"/>
          <w:highlight w:val="none"/>
          <w:lang w:val="en-US" w:eastAsia="zh-CN"/>
        </w:rPr>
        <w:t>作业</w:t>
      </w:r>
      <w:r>
        <w:rPr>
          <w:rFonts w:hint="eastAsia"/>
          <w:highlight w:val="none"/>
        </w:rPr>
        <w:t>、大型吊装和就位作业、</w:t>
      </w:r>
      <w:r>
        <w:rPr>
          <w:rFonts w:hint="eastAsia"/>
          <w:highlight w:val="none"/>
          <w:lang w:val="en-US" w:eastAsia="zh-CN"/>
        </w:rPr>
        <w:t>浮托作业、</w:t>
      </w:r>
      <w:r>
        <w:rPr>
          <w:rFonts w:hint="eastAsia"/>
          <w:highlight w:val="none"/>
        </w:rPr>
        <w:t>海管海缆铺设作业、制造安装作业、设施改造作业、检维修作业、</w:t>
      </w:r>
      <w:r>
        <w:rPr>
          <w:rFonts w:hint="eastAsia"/>
          <w:highlight w:val="none"/>
          <w:lang w:val="en-US" w:eastAsia="zh-CN"/>
        </w:rPr>
        <w:t>石油人工岛</w:t>
      </w:r>
      <w:r>
        <w:rPr>
          <w:rFonts w:hint="eastAsia"/>
          <w:highlight w:val="none"/>
        </w:rPr>
        <w:t>建设作业等</w:t>
      </w:r>
      <w:r>
        <w:rPr>
          <w:rFonts w:hint="eastAsia"/>
          <w:highlight w:val="none"/>
          <w:lang w:val="en-US" w:eastAsia="zh-CN"/>
        </w:rPr>
        <w:t>进行评价</w:t>
      </w:r>
      <w:r>
        <w:rPr>
          <w:rFonts w:hint="eastAsia"/>
          <w:highlight w:val="none"/>
          <w:lang w:eastAsia="zh-CN"/>
        </w:rPr>
        <w:t>。</w:t>
      </w:r>
    </w:p>
    <w:p w14:paraId="52C72272">
      <w:pPr>
        <w:pStyle w:val="73"/>
        <w:adjustRightInd w:val="0"/>
        <w:snapToGrid w:val="0"/>
        <w:spacing w:before="326" w:beforeLines="100" w:after="326" w:afterLines="100"/>
        <w:outlineLvl w:val="0"/>
        <w:rPr>
          <w:rFonts w:hint="eastAsia" w:ascii="黑体" w:hAnsi="黑体" w:eastAsia="黑体" w:cs="黑体"/>
          <w:bCs/>
          <w:color w:val="000000"/>
          <w:szCs w:val="21"/>
          <w:highlight w:val="none"/>
          <w:lang w:val="en-US" w:eastAsia="zh-CN"/>
        </w:rPr>
      </w:pPr>
      <w:bookmarkStart w:id="122" w:name="_Toc21321"/>
      <w:bookmarkStart w:id="123" w:name="_Toc137034211"/>
      <w:bookmarkStart w:id="124" w:name="_Toc127776868"/>
      <w:bookmarkStart w:id="125" w:name="_Toc11920"/>
      <w:bookmarkStart w:id="126" w:name="_Toc145831405"/>
      <w:r>
        <w:rPr>
          <w:rFonts w:hint="eastAsia" w:ascii="黑体" w:hAnsi="黑体" w:eastAsia="黑体" w:cs="黑体"/>
          <w:bCs/>
          <w:color w:val="000000"/>
          <w:szCs w:val="21"/>
          <w:highlight w:val="none"/>
          <w:lang w:val="en-US" w:eastAsia="zh-CN"/>
        </w:rPr>
        <w:t>安全管理单元评价</w:t>
      </w:r>
      <w:bookmarkEnd w:id="122"/>
      <w:bookmarkEnd w:id="123"/>
      <w:bookmarkEnd w:id="124"/>
      <w:bookmarkEnd w:id="125"/>
      <w:bookmarkEnd w:id="126"/>
    </w:p>
    <w:p w14:paraId="3EFCF535">
      <w:pPr>
        <w:pStyle w:val="147"/>
        <w:ind w:firstLine="420"/>
        <w:rPr>
          <w:highlight w:val="none"/>
        </w:rPr>
      </w:pPr>
      <w:r>
        <w:rPr>
          <w:rFonts w:hint="eastAsia"/>
          <w:highlight w:val="none"/>
          <w:lang w:val="en-US" w:eastAsia="zh-CN"/>
        </w:rPr>
        <w:t>对以下</w:t>
      </w:r>
      <w:r>
        <w:rPr>
          <w:rFonts w:hint="eastAsia"/>
          <w:highlight w:val="none"/>
        </w:rPr>
        <w:t>安全管理</w:t>
      </w:r>
      <w:r>
        <w:rPr>
          <w:rFonts w:hint="eastAsia"/>
          <w:highlight w:val="none"/>
          <w:lang w:val="en-US" w:eastAsia="zh-CN"/>
        </w:rPr>
        <w:t>内容进行评价</w:t>
      </w:r>
      <w:r>
        <w:rPr>
          <w:rFonts w:hint="eastAsia"/>
          <w:highlight w:val="none"/>
        </w:rPr>
        <w:t>：</w:t>
      </w:r>
    </w:p>
    <w:p w14:paraId="62D7DD69">
      <w:pPr>
        <w:pStyle w:val="145"/>
        <w:numPr>
          <w:ilvl w:val="0"/>
          <w:numId w:val="36"/>
        </w:numPr>
        <w:tabs>
          <w:tab w:val="left" w:pos="839"/>
        </w:tabs>
        <w:rPr>
          <w:highlight w:val="none"/>
        </w:rPr>
      </w:pPr>
      <w:r>
        <w:rPr>
          <w:rFonts w:hint="eastAsia"/>
          <w:highlight w:val="none"/>
        </w:rPr>
        <w:t>安全生产管理机构</w:t>
      </w:r>
      <w:r>
        <w:rPr>
          <w:rFonts w:hint="eastAsia"/>
          <w:highlight w:val="none"/>
          <w:lang w:val="en-US" w:eastAsia="zh-CN"/>
        </w:rPr>
        <w:t>及专职</w:t>
      </w:r>
      <w:r>
        <w:rPr>
          <w:rFonts w:hint="eastAsia"/>
          <w:highlight w:val="none"/>
        </w:rPr>
        <w:t>安全生产管理人员</w:t>
      </w:r>
      <w:r>
        <w:rPr>
          <w:rFonts w:hint="eastAsia"/>
          <w:highlight w:val="none"/>
          <w:lang w:eastAsia="zh-CN"/>
        </w:rPr>
        <w:t>、</w:t>
      </w:r>
      <w:r>
        <w:rPr>
          <w:rFonts w:hint="eastAsia"/>
          <w:highlight w:val="none"/>
          <w:lang w:val="en-US" w:eastAsia="zh-CN"/>
        </w:rPr>
        <w:t>注册安全工程师</w:t>
      </w:r>
      <w:r>
        <w:rPr>
          <w:rFonts w:hint="eastAsia"/>
          <w:highlight w:val="none"/>
        </w:rPr>
        <w:t>；</w:t>
      </w:r>
    </w:p>
    <w:p w14:paraId="382C21B0">
      <w:pPr>
        <w:pStyle w:val="145"/>
        <w:numPr>
          <w:ilvl w:val="0"/>
          <w:numId w:val="36"/>
        </w:numPr>
        <w:tabs>
          <w:tab w:val="left" w:pos="839"/>
        </w:tabs>
        <w:rPr>
          <w:highlight w:val="none"/>
        </w:rPr>
      </w:pPr>
      <w:r>
        <w:rPr>
          <w:rFonts w:hint="eastAsia"/>
          <w:highlight w:val="none"/>
        </w:rPr>
        <w:t>安全生产责任制；</w:t>
      </w:r>
    </w:p>
    <w:p w14:paraId="4F179251">
      <w:pPr>
        <w:pStyle w:val="145"/>
        <w:numPr>
          <w:ilvl w:val="0"/>
          <w:numId w:val="36"/>
        </w:numPr>
        <w:tabs>
          <w:tab w:val="left" w:pos="839"/>
        </w:tabs>
        <w:rPr>
          <w:highlight w:val="none"/>
        </w:rPr>
      </w:pPr>
      <w:r>
        <w:rPr>
          <w:rFonts w:hint="eastAsia"/>
          <w:highlight w:val="none"/>
        </w:rPr>
        <w:t>安全</w:t>
      </w:r>
      <w:r>
        <w:rPr>
          <w:rFonts w:hint="eastAsia"/>
          <w:highlight w:val="none"/>
          <w:lang w:val="en-US" w:eastAsia="zh-CN"/>
        </w:rPr>
        <w:t>生产规章</w:t>
      </w:r>
      <w:r>
        <w:rPr>
          <w:rFonts w:hint="eastAsia"/>
          <w:highlight w:val="none"/>
        </w:rPr>
        <w:t>制度；</w:t>
      </w:r>
    </w:p>
    <w:p w14:paraId="04DBF35B">
      <w:pPr>
        <w:pStyle w:val="145"/>
        <w:numPr>
          <w:ilvl w:val="0"/>
          <w:numId w:val="36"/>
        </w:numPr>
        <w:tabs>
          <w:tab w:val="left" w:pos="839"/>
        </w:tabs>
        <w:rPr>
          <w:highlight w:val="none"/>
        </w:rPr>
      </w:pPr>
      <w:r>
        <w:rPr>
          <w:rFonts w:hint="eastAsia"/>
          <w:highlight w:val="none"/>
        </w:rPr>
        <w:t>作业安全规程和</w:t>
      </w:r>
      <w:r>
        <w:rPr>
          <w:rFonts w:hint="eastAsia"/>
          <w:highlight w:val="none"/>
          <w:lang w:val="en-US" w:eastAsia="zh-CN"/>
        </w:rPr>
        <w:t>岗位</w:t>
      </w:r>
      <w:r>
        <w:rPr>
          <w:rFonts w:hint="eastAsia"/>
          <w:highlight w:val="none"/>
        </w:rPr>
        <w:t>操作规程；</w:t>
      </w:r>
    </w:p>
    <w:p w14:paraId="74078BDA">
      <w:pPr>
        <w:pStyle w:val="145"/>
        <w:numPr>
          <w:ilvl w:val="0"/>
          <w:numId w:val="36"/>
        </w:numPr>
        <w:tabs>
          <w:tab w:val="left" w:pos="839"/>
        </w:tabs>
        <w:rPr>
          <w:highlight w:val="none"/>
        </w:rPr>
      </w:pPr>
      <w:r>
        <w:rPr>
          <w:rFonts w:hint="eastAsia"/>
          <w:highlight w:val="none"/>
          <w:lang w:val="en-US" w:eastAsia="zh-CN"/>
        </w:rPr>
        <w:t>主要负责人、安全生产管理人员安全生产知识和管理能力培训、考核；</w:t>
      </w:r>
    </w:p>
    <w:p w14:paraId="03B2D768">
      <w:pPr>
        <w:pStyle w:val="145"/>
        <w:numPr>
          <w:ilvl w:val="0"/>
          <w:numId w:val="36"/>
        </w:numPr>
        <w:tabs>
          <w:tab w:val="left" w:pos="839"/>
        </w:tabs>
        <w:rPr>
          <w:highlight w:val="none"/>
        </w:rPr>
      </w:pPr>
      <w:r>
        <w:rPr>
          <w:rFonts w:hint="eastAsia"/>
          <w:highlight w:val="none"/>
        </w:rPr>
        <w:t>特种作业人员及特种设备操作人员</w:t>
      </w:r>
      <w:r>
        <w:rPr>
          <w:rFonts w:hint="eastAsia"/>
          <w:highlight w:val="none"/>
          <w:lang w:val="en-US" w:eastAsia="zh-CN"/>
        </w:rPr>
        <w:t>资格</w:t>
      </w:r>
      <w:r>
        <w:rPr>
          <w:rFonts w:hint="eastAsia"/>
          <w:highlight w:val="none"/>
        </w:rPr>
        <w:t>；</w:t>
      </w:r>
    </w:p>
    <w:p w14:paraId="6C21E9A0">
      <w:pPr>
        <w:pStyle w:val="145"/>
        <w:numPr>
          <w:ilvl w:val="0"/>
          <w:numId w:val="36"/>
        </w:numPr>
        <w:tabs>
          <w:tab w:val="left" w:pos="839"/>
        </w:tabs>
        <w:rPr>
          <w:highlight w:val="none"/>
        </w:rPr>
      </w:pPr>
      <w:r>
        <w:rPr>
          <w:rFonts w:hint="eastAsia"/>
          <w:highlight w:val="none"/>
        </w:rPr>
        <w:t>海洋石油作业人员</w:t>
      </w:r>
      <w:r>
        <w:rPr>
          <w:rFonts w:hint="eastAsia"/>
          <w:highlight w:val="none"/>
          <w:lang w:val="en-US" w:eastAsia="zh-CN"/>
        </w:rPr>
        <w:t>资格</w:t>
      </w:r>
      <w:r>
        <w:rPr>
          <w:rFonts w:hint="eastAsia"/>
          <w:color w:val="auto"/>
          <w:highlight w:val="none"/>
        </w:rPr>
        <w:t>（</w:t>
      </w:r>
      <w:r>
        <w:rPr>
          <w:rFonts w:hint="eastAsia" w:hAnsi="宋体"/>
          <w:color w:val="auto"/>
          <w:highlight w:val="none"/>
        </w:rPr>
        <w:t>海上石油作业安全救生</w:t>
      </w:r>
      <w:r>
        <w:rPr>
          <w:rFonts w:hint="eastAsia"/>
          <w:color w:val="auto"/>
          <w:highlight w:val="none"/>
        </w:rPr>
        <w:t>、</w:t>
      </w:r>
      <w:r>
        <w:rPr>
          <w:rFonts w:hint="eastAsia" w:hAnsi="宋体"/>
          <w:color w:val="auto"/>
          <w:highlight w:val="none"/>
        </w:rPr>
        <w:t>油气消防、井控技术、稳性与压载技术、防硫化氢技术、无线电技术</w:t>
      </w:r>
      <w:r>
        <w:rPr>
          <w:rFonts w:hint="eastAsia"/>
          <w:color w:val="auto"/>
          <w:highlight w:val="none"/>
        </w:rPr>
        <w:t>等）</w:t>
      </w:r>
      <w:r>
        <w:rPr>
          <w:rFonts w:hint="eastAsia"/>
          <w:highlight w:val="none"/>
        </w:rPr>
        <w:t>；</w:t>
      </w:r>
    </w:p>
    <w:p w14:paraId="710EF241">
      <w:pPr>
        <w:pStyle w:val="145"/>
        <w:numPr>
          <w:ilvl w:val="0"/>
          <w:numId w:val="36"/>
        </w:numPr>
        <w:tabs>
          <w:tab w:val="left" w:pos="839"/>
        </w:tabs>
        <w:rPr>
          <w:highlight w:val="none"/>
        </w:rPr>
      </w:pPr>
      <w:r>
        <w:rPr>
          <w:rFonts w:hint="eastAsia"/>
          <w:highlight w:val="none"/>
        </w:rPr>
        <w:t>安全生产教育和培训；</w:t>
      </w:r>
    </w:p>
    <w:p w14:paraId="29804C68">
      <w:pPr>
        <w:pStyle w:val="145"/>
        <w:numPr>
          <w:ilvl w:val="0"/>
          <w:numId w:val="36"/>
        </w:numPr>
        <w:tabs>
          <w:tab w:val="left" w:pos="839"/>
        </w:tabs>
        <w:rPr>
          <w:highlight w:val="none"/>
        </w:rPr>
      </w:pPr>
      <w:r>
        <w:rPr>
          <w:rFonts w:hint="eastAsia"/>
          <w:highlight w:val="none"/>
        </w:rPr>
        <w:t>安全</w:t>
      </w:r>
      <w:r>
        <w:rPr>
          <w:rFonts w:hint="eastAsia"/>
          <w:highlight w:val="none"/>
          <w:lang w:val="en-US" w:eastAsia="zh-CN"/>
        </w:rPr>
        <w:t>生产费用提取和使用</w:t>
      </w:r>
      <w:r>
        <w:rPr>
          <w:rFonts w:hint="eastAsia"/>
          <w:highlight w:val="none"/>
        </w:rPr>
        <w:t>；</w:t>
      </w:r>
    </w:p>
    <w:p w14:paraId="72CFD90E">
      <w:pPr>
        <w:pStyle w:val="145"/>
        <w:numPr>
          <w:ilvl w:val="0"/>
          <w:numId w:val="36"/>
        </w:numPr>
        <w:tabs>
          <w:tab w:val="left" w:pos="839"/>
        </w:tabs>
        <w:rPr>
          <w:highlight w:val="none"/>
        </w:rPr>
      </w:pPr>
      <w:r>
        <w:rPr>
          <w:rFonts w:hint="eastAsia"/>
          <w:highlight w:val="none"/>
        </w:rPr>
        <w:t>从业人员工伤保险；</w:t>
      </w:r>
    </w:p>
    <w:p w14:paraId="7193AF92">
      <w:pPr>
        <w:pStyle w:val="145"/>
        <w:numPr>
          <w:ilvl w:val="0"/>
          <w:numId w:val="36"/>
        </w:numPr>
        <w:tabs>
          <w:tab w:val="left" w:pos="839"/>
        </w:tabs>
        <w:rPr>
          <w:rFonts w:hint="eastAsia"/>
          <w:highlight w:val="none"/>
        </w:rPr>
      </w:pPr>
      <w:r>
        <w:rPr>
          <w:rFonts w:hint="eastAsia"/>
          <w:highlight w:val="none"/>
          <w:lang w:val="en-US" w:eastAsia="zh-CN"/>
        </w:rPr>
        <w:t>安全生产责任保险；</w:t>
      </w:r>
    </w:p>
    <w:p w14:paraId="121DF925">
      <w:pPr>
        <w:pStyle w:val="145"/>
        <w:numPr>
          <w:ilvl w:val="0"/>
          <w:numId w:val="36"/>
        </w:numPr>
        <w:tabs>
          <w:tab w:val="left" w:pos="839"/>
        </w:tabs>
        <w:rPr>
          <w:rFonts w:hint="eastAsia"/>
          <w:highlight w:val="none"/>
        </w:rPr>
      </w:pPr>
      <w:r>
        <w:rPr>
          <w:rFonts w:hint="eastAsia"/>
          <w:highlight w:val="none"/>
        </w:rPr>
        <w:t>为从业人员配备符合国家标准或者行业标准的个体防护装备；</w:t>
      </w:r>
    </w:p>
    <w:p w14:paraId="2C044765">
      <w:pPr>
        <w:pStyle w:val="145"/>
        <w:numPr>
          <w:ilvl w:val="0"/>
          <w:numId w:val="36"/>
        </w:numPr>
        <w:tabs>
          <w:tab w:val="left" w:pos="839"/>
        </w:tabs>
        <w:rPr>
          <w:rFonts w:hint="eastAsia"/>
          <w:highlight w:val="none"/>
        </w:rPr>
      </w:pPr>
      <w:r>
        <w:rPr>
          <w:rFonts w:hint="eastAsia"/>
          <w:highlight w:val="none"/>
        </w:rPr>
        <w:t>双重预防机制</w:t>
      </w:r>
      <w:r>
        <w:rPr>
          <w:rFonts w:hint="eastAsia"/>
          <w:highlight w:val="none"/>
          <w:lang w:val="en-US" w:eastAsia="zh-CN"/>
        </w:rPr>
        <w:t>及石油天然气开采重大事故隐患判定</w:t>
      </w:r>
      <w:r>
        <w:rPr>
          <w:rFonts w:hint="eastAsia"/>
          <w:highlight w:val="none"/>
        </w:rPr>
        <w:t>；</w:t>
      </w:r>
    </w:p>
    <w:p w14:paraId="0BC561FD">
      <w:pPr>
        <w:pStyle w:val="145"/>
        <w:numPr>
          <w:ilvl w:val="0"/>
          <w:numId w:val="36"/>
        </w:numPr>
        <w:tabs>
          <w:tab w:val="left" w:pos="839"/>
        </w:tabs>
        <w:rPr>
          <w:rFonts w:hint="eastAsia"/>
          <w:highlight w:val="none"/>
        </w:rPr>
      </w:pPr>
      <w:r>
        <w:rPr>
          <w:rFonts w:hint="eastAsia"/>
          <w:highlight w:val="none"/>
        </w:rPr>
        <w:t>承包商管理；</w:t>
      </w:r>
    </w:p>
    <w:p w14:paraId="79FAFD12">
      <w:pPr>
        <w:pStyle w:val="145"/>
        <w:numPr>
          <w:ilvl w:val="0"/>
          <w:numId w:val="36"/>
        </w:numPr>
        <w:tabs>
          <w:tab w:val="left" w:pos="839"/>
        </w:tabs>
        <w:rPr>
          <w:rFonts w:hint="eastAsia"/>
          <w:highlight w:val="none"/>
        </w:rPr>
      </w:pPr>
      <w:r>
        <w:rPr>
          <w:rFonts w:hint="eastAsia"/>
          <w:highlight w:val="none"/>
        </w:rPr>
        <w:t>变更管理；</w:t>
      </w:r>
    </w:p>
    <w:p w14:paraId="1118BB9F">
      <w:pPr>
        <w:pStyle w:val="145"/>
        <w:numPr>
          <w:ilvl w:val="0"/>
          <w:numId w:val="36"/>
        </w:numPr>
        <w:tabs>
          <w:tab w:val="left" w:pos="839"/>
        </w:tabs>
        <w:rPr>
          <w:rFonts w:hint="eastAsia"/>
          <w:highlight w:val="none"/>
        </w:rPr>
      </w:pPr>
      <w:r>
        <w:rPr>
          <w:rFonts w:hint="eastAsia"/>
          <w:highlight w:val="none"/>
        </w:rPr>
        <w:t>应急</w:t>
      </w:r>
      <w:r>
        <w:rPr>
          <w:rFonts w:hint="eastAsia"/>
          <w:highlight w:val="none"/>
          <w:lang w:val="en-US" w:eastAsia="zh-CN"/>
        </w:rPr>
        <w:t>管理</w:t>
      </w:r>
      <w:r>
        <w:rPr>
          <w:rFonts w:hint="eastAsia"/>
          <w:highlight w:val="none"/>
        </w:rPr>
        <w:t>；</w:t>
      </w:r>
    </w:p>
    <w:p w14:paraId="5F084024">
      <w:pPr>
        <w:pStyle w:val="145"/>
        <w:numPr>
          <w:ilvl w:val="0"/>
          <w:numId w:val="36"/>
        </w:numPr>
        <w:tabs>
          <w:tab w:val="left" w:pos="839"/>
        </w:tabs>
        <w:rPr>
          <w:rFonts w:hint="eastAsia"/>
          <w:highlight w:val="none"/>
          <w:lang w:val="en-US" w:eastAsia="zh-CN"/>
        </w:rPr>
      </w:pPr>
      <w:r>
        <w:rPr>
          <w:rFonts w:hint="eastAsia"/>
          <w:highlight w:val="none"/>
        </w:rPr>
        <w:t>生产安全事故管理</w:t>
      </w:r>
      <w:r>
        <w:rPr>
          <w:rFonts w:hint="eastAsia"/>
          <w:highlight w:val="none"/>
          <w:lang w:val="en-US" w:eastAsia="zh-CN"/>
        </w:rPr>
        <w:t>。</w:t>
      </w:r>
    </w:p>
    <w:p w14:paraId="55B242CC">
      <w:pPr>
        <w:pStyle w:val="73"/>
        <w:adjustRightInd w:val="0"/>
        <w:spacing w:before="326" w:beforeLines="100" w:after="326" w:afterLines="100"/>
        <w:outlineLvl w:val="0"/>
        <w:rPr>
          <w:rFonts w:hint="eastAsia" w:ascii="黑体" w:hAnsi="黑体" w:eastAsia="黑体" w:cs="黑体"/>
          <w:bCs/>
          <w:color w:val="000000"/>
          <w:szCs w:val="21"/>
          <w:highlight w:val="none"/>
          <w:lang w:val="en-US" w:eastAsia="zh-CN"/>
        </w:rPr>
      </w:pPr>
      <w:bookmarkStart w:id="127" w:name="_Toc127776870"/>
      <w:bookmarkStart w:id="128" w:name="_Toc6811"/>
      <w:bookmarkStart w:id="129" w:name="_Toc145831407"/>
      <w:bookmarkStart w:id="130" w:name="_Toc16682"/>
      <w:bookmarkStart w:id="131" w:name="_Toc137034213"/>
      <w:r>
        <w:rPr>
          <w:rFonts w:hint="eastAsia" w:ascii="黑体" w:hAnsi="黑体" w:eastAsia="黑体" w:cs="黑体"/>
          <w:bCs/>
          <w:color w:val="000000"/>
          <w:szCs w:val="21"/>
          <w:highlight w:val="none"/>
          <w:lang w:val="en-US" w:eastAsia="zh-CN"/>
        </w:rPr>
        <w:t>安全对策措施及建议</w:t>
      </w:r>
      <w:bookmarkEnd w:id="127"/>
      <w:bookmarkEnd w:id="128"/>
      <w:bookmarkEnd w:id="129"/>
      <w:bookmarkEnd w:id="130"/>
      <w:bookmarkEnd w:id="131"/>
    </w:p>
    <w:p w14:paraId="577F6180">
      <w:pPr>
        <w:pStyle w:val="27"/>
        <w:rPr>
          <w:rFonts w:hint="eastAsia"/>
          <w:highlight w:val="none"/>
        </w:rPr>
      </w:pPr>
      <w:r>
        <w:rPr>
          <w:rFonts w:hint="eastAsia"/>
          <w:highlight w:val="none"/>
        </w:rPr>
        <w:t>根据危险有害因素辨识、现场调研和单元评价的结果，提出预防事故、降低风险、减少事故影响的安全对策措施及建议：</w:t>
      </w:r>
    </w:p>
    <w:p w14:paraId="5DF75D6B">
      <w:pPr>
        <w:pStyle w:val="145"/>
        <w:numPr>
          <w:ilvl w:val="0"/>
          <w:numId w:val="37"/>
        </w:numPr>
        <w:tabs>
          <w:tab w:val="left" w:pos="839"/>
        </w:tabs>
        <w:rPr>
          <w:rFonts w:hint="eastAsia"/>
          <w:highlight w:val="none"/>
        </w:rPr>
      </w:pPr>
      <w:r>
        <w:rPr>
          <w:rFonts w:hint="eastAsia"/>
          <w:highlight w:val="none"/>
        </w:rPr>
        <w:t>说明</w:t>
      </w:r>
      <w:r>
        <w:rPr>
          <w:rFonts w:hint="eastAsia"/>
          <w:highlight w:val="none"/>
          <w:lang w:val="en-US" w:eastAsia="zh-CN"/>
        </w:rPr>
        <w:t>评价对象</w:t>
      </w:r>
      <w:r>
        <w:rPr>
          <w:rFonts w:hint="eastAsia"/>
          <w:highlight w:val="none"/>
        </w:rPr>
        <w:t>对安全现状评价过程中提出问题的整改情况；暂无法整改的应说明采取的安全措施或整改计划。</w:t>
      </w:r>
    </w:p>
    <w:p w14:paraId="7C306D53">
      <w:pPr>
        <w:pStyle w:val="145"/>
        <w:numPr>
          <w:ilvl w:val="0"/>
          <w:numId w:val="37"/>
        </w:numPr>
        <w:tabs>
          <w:tab w:val="left" w:pos="839"/>
        </w:tabs>
        <w:rPr>
          <w:highlight w:val="none"/>
        </w:rPr>
      </w:pPr>
      <w:r>
        <w:rPr>
          <w:rFonts w:hint="eastAsia"/>
          <w:highlight w:val="none"/>
        </w:rPr>
        <w:t>结合单元评价结果，从生产运行、安全管理方面提出针对性的安全对策措施及建议。</w:t>
      </w:r>
    </w:p>
    <w:p w14:paraId="17BD710C">
      <w:pPr>
        <w:pStyle w:val="73"/>
        <w:adjustRightInd w:val="0"/>
        <w:spacing w:before="326" w:beforeLines="100" w:after="326" w:afterLines="100"/>
        <w:outlineLvl w:val="0"/>
        <w:rPr>
          <w:rFonts w:hint="eastAsia" w:ascii="黑体" w:hAnsi="黑体" w:eastAsia="黑体" w:cs="黑体"/>
          <w:bCs/>
          <w:color w:val="000000"/>
          <w:szCs w:val="21"/>
          <w:highlight w:val="none"/>
          <w:lang w:val="en-US" w:eastAsia="zh-CN"/>
        </w:rPr>
      </w:pPr>
      <w:bookmarkStart w:id="132" w:name="_Toc145831408"/>
      <w:bookmarkStart w:id="133" w:name="_Toc137034214"/>
      <w:bookmarkStart w:id="134" w:name="_Toc15017"/>
      <w:bookmarkStart w:id="135" w:name="_Toc127776871"/>
      <w:bookmarkStart w:id="136" w:name="_Toc26355"/>
      <w:r>
        <w:rPr>
          <w:rFonts w:hint="eastAsia" w:ascii="黑体" w:hAnsi="黑体" w:eastAsia="黑体" w:cs="黑体"/>
          <w:bCs/>
          <w:color w:val="000000"/>
          <w:szCs w:val="21"/>
          <w:highlight w:val="none"/>
          <w:lang w:val="en-US" w:eastAsia="zh-CN"/>
        </w:rPr>
        <w:t>安全现状评价结论</w:t>
      </w:r>
      <w:bookmarkEnd w:id="132"/>
      <w:bookmarkEnd w:id="133"/>
      <w:bookmarkEnd w:id="134"/>
      <w:bookmarkEnd w:id="135"/>
      <w:bookmarkEnd w:id="136"/>
    </w:p>
    <w:p w14:paraId="4FF554BE">
      <w:pPr>
        <w:pStyle w:val="147"/>
        <w:ind w:firstLine="420"/>
        <w:rPr>
          <w:highlight w:val="none"/>
        </w:rPr>
      </w:pPr>
      <w:r>
        <w:rPr>
          <w:rFonts w:hint="eastAsia"/>
          <w:highlight w:val="none"/>
        </w:rPr>
        <w:t>遵循客观、公正、真实的原则，将评价内容进行总结概括，明确安全现状评价</w:t>
      </w:r>
      <w:r>
        <w:rPr>
          <w:rFonts w:hint="eastAsia"/>
          <w:highlight w:val="none"/>
          <w:lang w:val="en-US" w:eastAsia="zh-CN"/>
        </w:rPr>
        <w:t>结论</w:t>
      </w:r>
      <w:r>
        <w:rPr>
          <w:rFonts w:hint="eastAsia"/>
          <w:highlight w:val="none"/>
          <w:lang w:eastAsia="zh-CN"/>
        </w:rPr>
        <w:t>，</w:t>
      </w:r>
      <w:r>
        <w:rPr>
          <w:rFonts w:hint="eastAsia"/>
          <w:highlight w:val="none"/>
        </w:rPr>
        <w:t>应包括：</w:t>
      </w:r>
    </w:p>
    <w:p w14:paraId="3A74B440">
      <w:pPr>
        <w:pStyle w:val="145"/>
        <w:numPr>
          <w:ilvl w:val="0"/>
          <w:numId w:val="38"/>
        </w:numPr>
        <w:tabs>
          <w:tab w:val="left" w:pos="839"/>
        </w:tabs>
        <w:rPr>
          <w:highlight w:val="none"/>
        </w:rPr>
      </w:pPr>
      <w:r>
        <w:rPr>
          <w:rFonts w:hint="eastAsia"/>
          <w:highlight w:val="none"/>
          <w:lang w:val="en-US" w:eastAsia="zh-CN"/>
        </w:rPr>
        <w:t>汇总</w:t>
      </w:r>
      <w:r>
        <w:rPr>
          <w:rFonts w:hint="eastAsia"/>
          <w:highlight w:val="none"/>
        </w:rPr>
        <w:t>列出</w:t>
      </w:r>
      <w:r>
        <w:rPr>
          <w:rFonts w:hint="eastAsia"/>
          <w:highlight w:val="none"/>
          <w:lang w:val="en-US" w:eastAsia="zh-CN"/>
        </w:rPr>
        <w:t>评价对象</w:t>
      </w:r>
      <w:r>
        <w:rPr>
          <w:rFonts w:hint="eastAsia" w:hAnsi="Calibri" w:cs="宋体"/>
          <w:color w:val="000000"/>
          <w:sz w:val="21"/>
          <w:szCs w:val="21"/>
          <w:highlight w:val="none"/>
          <w:lang w:val="en-US" w:eastAsia="zh-CN"/>
        </w:rPr>
        <w:t>涉及</w:t>
      </w:r>
      <w:r>
        <w:rPr>
          <w:rFonts w:hint="eastAsia" w:ascii="宋体" w:hAnsi="Calibri" w:cs="宋体"/>
          <w:color w:val="000000"/>
          <w:sz w:val="21"/>
          <w:szCs w:val="21"/>
          <w:highlight w:val="none"/>
        </w:rPr>
        <w:t>的</w:t>
      </w:r>
      <w:r>
        <w:rPr>
          <w:rFonts w:hint="eastAsia" w:hAnsi="Calibri" w:cs="宋体"/>
          <w:color w:val="000000"/>
          <w:sz w:val="21"/>
          <w:szCs w:val="21"/>
          <w:highlight w:val="none"/>
          <w:lang w:val="en-US" w:eastAsia="zh-CN"/>
        </w:rPr>
        <w:t>危险有害物质、设备设施及生产作业活动危险有害因素、安全管理危险有害因素</w:t>
      </w:r>
      <w:r>
        <w:rPr>
          <w:rFonts w:hint="eastAsia"/>
          <w:highlight w:val="none"/>
        </w:rPr>
        <w:t>，安全现状评价中提出问题的整改情况，以及各</w:t>
      </w:r>
      <w:r>
        <w:rPr>
          <w:rFonts w:hint="eastAsia"/>
          <w:highlight w:val="none"/>
          <w:lang w:val="en-US" w:eastAsia="zh-CN"/>
        </w:rPr>
        <w:t>评价</w:t>
      </w:r>
      <w:r>
        <w:rPr>
          <w:rFonts w:hint="eastAsia"/>
          <w:highlight w:val="none"/>
        </w:rPr>
        <w:t>单元评价结论；</w:t>
      </w:r>
    </w:p>
    <w:p w14:paraId="06163A26">
      <w:pPr>
        <w:pStyle w:val="145"/>
        <w:numPr>
          <w:ilvl w:val="0"/>
          <w:numId w:val="38"/>
        </w:numPr>
        <w:tabs>
          <w:tab w:val="left" w:pos="839"/>
        </w:tabs>
        <w:rPr>
          <w:highlight w:val="none"/>
        </w:rPr>
      </w:pPr>
      <w:r>
        <w:rPr>
          <w:rFonts w:hint="eastAsia"/>
          <w:highlight w:val="none"/>
          <w:lang w:val="en-US" w:eastAsia="zh-CN"/>
        </w:rPr>
        <w:t>评价对象</w:t>
      </w:r>
      <w:r>
        <w:rPr>
          <w:rFonts w:hint="eastAsia"/>
          <w:highlight w:val="none"/>
        </w:rPr>
        <w:t>现有安全生产条件的落实情况，是否符合海洋石油天然气企业应具备的海上采油（气）、管道储运、物探、钻井、录井、测井、井下作业、海油工程等安全生产条件</w:t>
      </w:r>
      <w:r>
        <w:rPr>
          <w:rFonts w:hint="eastAsia"/>
          <w:highlight w:val="none"/>
          <w:lang w:eastAsia="zh-CN"/>
        </w:rPr>
        <w:t>，</w:t>
      </w:r>
      <w:r>
        <w:rPr>
          <w:rFonts w:hint="eastAsia"/>
          <w:highlight w:val="none"/>
          <w:lang w:val="en-US" w:eastAsia="zh-CN"/>
        </w:rPr>
        <w:t>风险可控</w:t>
      </w:r>
      <w:r>
        <w:rPr>
          <w:rFonts w:hint="eastAsia"/>
          <w:highlight w:val="none"/>
        </w:rPr>
        <w:t>。</w:t>
      </w:r>
    </w:p>
    <w:p w14:paraId="304A6C7A">
      <w:pPr>
        <w:pStyle w:val="73"/>
        <w:adjustRightInd w:val="0"/>
        <w:spacing w:before="326" w:beforeLines="100" w:after="326" w:afterLines="100"/>
        <w:outlineLvl w:val="0"/>
        <w:rPr>
          <w:rFonts w:hint="default" w:ascii="黑体" w:hAnsi="黑体" w:eastAsia="黑体" w:cs="黑体"/>
          <w:bCs/>
          <w:color w:val="000000"/>
          <w:szCs w:val="21"/>
          <w:highlight w:val="none"/>
          <w:lang w:val="en-US" w:eastAsia="zh-CN"/>
        </w:rPr>
      </w:pPr>
      <w:bookmarkStart w:id="137" w:name="_Toc19890"/>
      <w:r>
        <w:rPr>
          <w:rFonts w:hint="eastAsia" w:ascii="黑体" w:hAnsi="黑体" w:eastAsia="黑体" w:cs="黑体"/>
          <w:bCs/>
          <w:color w:val="000000"/>
          <w:szCs w:val="21"/>
          <w:highlight w:val="none"/>
          <w:lang w:val="en-US" w:eastAsia="zh-CN"/>
        </w:rPr>
        <w:t>附件</w:t>
      </w:r>
      <w:bookmarkEnd w:id="137"/>
    </w:p>
    <w:p w14:paraId="0E0D598D">
      <w:pPr>
        <w:pStyle w:val="147"/>
        <w:keepNext w:val="0"/>
        <w:keepLines w:val="0"/>
        <w:pageBreakBefore w:val="0"/>
        <w:widowControl w:val="0"/>
        <w:kinsoku/>
        <w:wordWrap/>
        <w:overflowPunct/>
        <w:topLinePunct w:val="0"/>
        <w:autoSpaceDE/>
        <w:autoSpaceDN/>
        <w:bidi w:val="0"/>
        <w:adjustRightInd/>
        <w:snapToGrid/>
        <w:ind w:firstLineChars="200"/>
        <w:textAlignment w:val="auto"/>
        <w:rPr>
          <w:rFonts w:hint="eastAsia" w:ascii="宋体" w:hAnsi="宋体" w:eastAsia="宋体" w:cs="宋体"/>
          <w:highlight w:val="none"/>
          <w:lang w:val="en-US" w:eastAsia="zh-CN"/>
        </w:rPr>
      </w:pPr>
      <w:bookmarkStart w:id="138" w:name="_Toc163572176"/>
      <w:bookmarkStart w:id="139" w:name="_Toc163572907"/>
      <w:bookmarkStart w:id="140" w:name="_Toc20241"/>
      <w:bookmarkStart w:id="141" w:name="_Toc145824806"/>
      <w:bookmarkStart w:id="142" w:name="_Toc145825345"/>
      <w:bookmarkStart w:id="143" w:name="_Toc142344180"/>
      <w:bookmarkStart w:id="144" w:name="_Toc145815122"/>
      <w:bookmarkStart w:id="145" w:name="_Toc13835"/>
      <w:bookmarkStart w:id="146" w:name="_Toc163567335"/>
      <w:r>
        <w:rPr>
          <w:rFonts w:hint="default" w:ascii="黑体" w:hAnsi="黑体" w:eastAsia="黑体" w:cs="黑体"/>
          <w:highlight w:val="none"/>
          <w:lang w:val="en-US"/>
        </w:rPr>
        <mc:AlternateContent>
          <mc:Choice Requires="wps">
            <w:drawing>
              <wp:anchor distT="0" distB="0" distL="114300" distR="114300" simplePos="0" relativeHeight="251724800" behindDoc="0" locked="0" layoutInCell="1" hidden="1" allowOverlap="1">
                <wp:simplePos x="0" y="0"/>
                <wp:positionH relativeFrom="column">
                  <wp:posOffset>1581150</wp:posOffset>
                </wp:positionH>
                <wp:positionV relativeFrom="paragraph">
                  <wp:posOffset>170815</wp:posOffset>
                </wp:positionV>
                <wp:extent cx="0" cy="179705"/>
                <wp:effectExtent l="0" t="0" r="0" b="0"/>
                <wp:wrapNone/>
                <wp:docPr id="4" name="直接连接符 4" hidden="1"/>
                <wp:cNvGraphicFramePr/>
                <a:graphic xmlns:a="http://schemas.openxmlformats.org/drawingml/2006/main">
                  <a:graphicData uri="http://schemas.microsoft.com/office/word/2010/wordprocessingShape">
                    <wps:wsp>
                      <wps:cNvCnPr/>
                      <wps:spPr>
                        <a:xfrm>
                          <a:off x="2301240" y="2109470"/>
                          <a:ext cx="0" cy="17970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124.5pt;margin-top:13.45pt;height:14.15pt;width:0pt;visibility:hidden;z-index:251724800;mso-width-relative:page;mso-height-relative:page;" filled="f" stroked="t" coordsize="21600,21600" o:gfxdata="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NMDnrbXAAAACQEAAA8AAAAAAAAAAQAgAAAAIgAAAGRycy9kb3ducmV2Lnht&#10;bFBLAQIUABQAAAAIAIdO4kDtgryC+gEAAMcDAAAOAAAAAAAAAAEAIAAAACYBAABkcnMvZTJvRG9j&#10;LnhtbFBLBQYAAAAABgAGAFkBAACSBQAAAAA=&#10;">
                <v:fill on="f" focussize="0,0"/>
                <v:stroke weight="0.5pt" color="#ED7D31 [3205]" miterlimit="8" joinstyle="miter"/>
                <v:imagedata o:title=""/>
                <o:lock v:ext="edit" aspectratio="f"/>
              </v:line>
            </w:pict>
          </mc:Fallback>
        </mc:AlternateContent>
      </w:r>
      <w:r>
        <w:rPr>
          <w:rFonts w:hint="eastAsia"/>
          <w:highlight w:val="none"/>
        </w:rPr>
        <w:t>报告附件</w:t>
      </w:r>
      <w:r>
        <w:rPr>
          <w:rFonts w:hint="eastAsia"/>
          <w:highlight w:val="none"/>
          <w:lang w:val="en-US" w:eastAsia="zh-CN"/>
        </w:rPr>
        <w:t>主要</w:t>
      </w:r>
      <w:r>
        <w:rPr>
          <w:rFonts w:hint="eastAsia"/>
          <w:highlight w:val="none"/>
        </w:rPr>
        <w:t>包括以下内容：</w:t>
      </w:r>
    </w:p>
    <w:p w14:paraId="39B586AA">
      <w:pPr>
        <w:pStyle w:val="145"/>
        <w:numPr>
          <w:ilvl w:val="0"/>
          <w:numId w:val="39"/>
        </w:numPr>
        <w:tabs>
          <w:tab w:val="left" w:pos="839"/>
        </w:tabs>
        <w:rPr>
          <w:color w:val="auto"/>
          <w:highlight w:val="none"/>
        </w:rPr>
      </w:pPr>
      <w:r>
        <w:rPr>
          <w:rFonts w:hint="eastAsia"/>
        </w:rPr>
        <w:t>安全现状评价工作合同或委托书</w:t>
      </w:r>
      <w:r>
        <w:rPr>
          <w:rFonts w:hint="eastAsia"/>
          <w:lang w:val="en-US" w:eastAsia="zh-CN"/>
        </w:rPr>
        <w:t>/订单；</w:t>
      </w:r>
    </w:p>
    <w:p w14:paraId="505D1756">
      <w:pPr>
        <w:pStyle w:val="145"/>
        <w:numPr>
          <w:ilvl w:val="0"/>
          <w:numId w:val="39"/>
        </w:numPr>
        <w:tabs>
          <w:tab w:val="left" w:pos="839"/>
        </w:tabs>
        <w:rPr>
          <w:color w:val="auto"/>
          <w:highlight w:val="none"/>
        </w:rPr>
      </w:pPr>
      <w:r>
        <w:rPr>
          <w:rFonts w:hint="eastAsia"/>
          <w:color w:val="auto"/>
          <w:highlight w:val="none"/>
        </w:rPr>
        <w:t>营业执照</w:t>
      </w:r>
      <w:r>
        <w:rPr>
          <w:rFonts w:hint="eastAsia"/>
          <w:color w:val="auto"/>
          <w:highlight w:val="none"/>
          <w:lang w:val="en-US" w:eastAsia="zh-CN"/>
        </w:rPr>
        <w:t>；</w:t>
      </w:r>
    </w:p>
    <w:p w14:paraId="0DC517AB">
      <w:pPr>
        <w:pStyle w:val="145"/>
        <w:numPr>
          <w:ilvl w:val="0"/>
          <w:numId w:val="39"/>
        </w:numPr>
        <w:tabs>
          <w:tab w:val="left" w:pos="839"/>
        </w:tabs>
        <w:rPr>
          <w:color w:val="auto"/>
          <w:highlight w:val="none"/>
        </w:rPr>
      </w:pPr>
      <w:r>
        <w:rPr>
          <w:rFonts w:hint="eastAsia"/>
          <w:color w:val="auto"/>
          <w:highlight w:val="none"/>
        </w:rPr>
        <w:t>安全生产许可证</w:t>
      </w:r>
      <w:r>
        <w:rPr>
          <w:rFonts w:hint="eastAsia"/>
          <w:color w:val="auto"/>
          <w:highlight w:val="none"/>
          <w:lang w:val="en-US" w:eastAsia="zh-CN"/>
        </w:rPr>
        <w:t>；</w:t>
      </w:r>
    </w:p>
    <w:p w14:paraId="4A5E1491">
      <w:pPr>
        <w:pStyle w:val="145"/>
        <w:numPr>
          <w:ilvl w:val="0"/>
          <w:numId w:val="39"/>
        </w:numPr>
        <w:tabs>
          <w:tab w:val="left" w:pos="839"/>
        </w:tabs>
        <w:rPr>
          <w:color w:val="auto"/>
          <w:highlight w:val="none"/>
        </w:rPr>
      </w:pPr>
      <w:r>
        <w:rPr>
          <w:rFonts w:hint="eastAsia"/>
          <w:color w:val="auto"/>
          <w:highlight w:val="none"/>
        </w:rPr>
        <w:t>安全</w:t>
      </w:r>
      <w:r>
        <w:rPr>
          <w:rFonts w:hint="eastAsia"/>
          <w:color w:val="auto"/>
          <w:highlight w:val="none"/>
          <w:lang w:val="en-US" w:eastAsia="zh-CN"/>
        </w:rPr>
        <w:t>生产费用</w:t>
      </w:r>
      <w:r>
        <w:rPr>
          <w:rFonts w:hint="eastAsia"/>
          <w:color w:val="auto"/>
          <w:highlight w:val="none"/>
        </w:rPr>
        <w:t>证明</w:t>
      </w:r>
      <w:r>
        <w:rPr>
          <w:rFonts w:hint="eastAsia"/>
          <w:color w:val="auto"/>
          <w:highlight w:val="none"/>
          <w:lang w:val="en-US" w:eastAsia="zh-CN"/>
        </w:rPr>
        <w:t>；</w:t>
      </w:r>
    </w:p>
    <w:p w14:paraId="409E6F0C">
      <w:pPr>
        <w:pStyle w:val="145"/>
        <w:numPr>
          <w:ilvl w:val="0"/>
          <w:numId w:val="39"/>
        </w:numPr>
        <w:tabs>
          <w:tab w:val="left" w:pos="839"/>
        </w:tabs>
        <w:rPr>
          <w:color w:val="auto"/>
          <w:highlight w:val="none"/>
        </w:rPr>
      </w:pPr>
      <w:r>
        <w:rPr>
          <w:rFonts w:hint="eastAsia"/>
          <w:color w:val="auto"/>
          <w:highlight w:val="none"/>
        </w:rPr>
        <w:t>工伤保险缴纳证明</w:t>
      </w:r>
      <w:r>
        <w:rPr>
          <w:rFonts w:hint="eastAsia"/>
          <w:color w:val="auto"/>
          <w:highlight w:val="none"/>
          <w:lang w:val="en-US" w:eastAsia="zh-CN"/>
        </w:rPr>
        <w:t>；</w:t>
      </w:r>
    </w:p>
    <w:p w14:paraId="38A47DDA">
      <w:pPr>
        <w:pStyle w:val="145"/>
        <w:numPr>
          <w:ilvl w:val="0"/>
          <w:numId w:val="39"/>
        </w:numPr>
        <w:tabs>
          <w:tab w:val="left" w:pos="839"/>
        </w:tabs>
        <w:rPr>
          <w:color w:val="auto"/>
          <w:highlight w:val="none"/>
        </w:rPr>
      </w:pPr>
      <w:r>
        <w:rPr>
          <w:rFonts w:hint="eastAsia"/>
        </w:rPr>
        <w:t>安全生产责任保险投保证明</w:t>
      </w:r>
      <w:r>
        <w:rPr>
          <w:rFonts w:hint="eastAsia"/>
          <w:lang w:eastAsia="zh-CN"/>
        </w:rPr>
        <w:t>；</w:t>
      </w:r>
    </w:p>
    <w:p w14:paraId="61BAEA04">
      <w:pPr>
        <w:pStyle w:val="145"/>
        <w:numPr>
          <w:ilvl w:val="0"/>
          <w:numId w:val="39"/>
        </w:numPr>
        <w:tabs>
          <w:tab w:val="left" w:pos="839"/>
        </w:tabs>
        <w:rPr>
          <w:color w:val="auto"/>
          <w:highlight w:val="none"/>
        </w:rPr>
      </w:pPr>
      <w:r>
        <w:rPr>
          <w:rFonts w:hint="eastAsia"/>
          <w:color w:val="auto"/>
          <w:highlight w:val="none"/>
        </w:rPr>
        <w:t>安全</w:t>
      </w:r>
      <w:r>
        <w:rPr>
          <w:rFonts w:hint="eastAsia"/>
          <w:color w:val="auto"/>
          <w:highlight w:val="none"/>
          <w:lang w:val="en-US" w:eastAsia="zh-CN"/>
        </w:rPr>
        <w:t>生产</w:t>
      </w:r>
      <w:r>
        <w:rPr>
          <w:rFonts w:hint="eastAsia"/>
          <w:color w:val="auto"/>
          <w:highlight w:val="none"/>
        </w:rPr>
        <w:t>管理机构设置文件、</w:t>
      </w:r>
      <w:r>
        <w:rPr>
          <w:rFonts w:hint="eastAsia"/>
          <w:color w:val="auto"/>
          <w:highlight w:val="none"/>
          <w:lang w:val="en-US" w:eastAsia="zh-CN"/>
        </w:rPr>
        <w:t>专职</w:t>
      </w:r>
      <w:r>
        <w:rPr>
          <w:rFonts w:hint="eastAsia"/>
          <w:color w:val="auto"/>
          <w:highlight w:val="none"/>
        </w:rPr>
        <w:t>安全</w:t>
      </w:r>
      <w:r>
        <w:rPr>
          <w:rFonts w:hint="eastAsia"/>
          <w:color w:val="auto"/>
          <w:highlight w:val="none"/>
          <w:lang w:val="en-US" w:eastAsia="zh-CN"/>
        </w:rPr>
        <w:t>生产</w:t>
      </w:r>
      <w:r>
        <w:rPr>
          <w:rFonts w:hint="eastAsia"/>
          <w:color w:val="auto"/>
          <w:highlight w:val="none"/>
        </w:rPr>
        <w:t>管理人员任命文件</w:t>
      </w:r>
      <w:r>
        <w:rPr>
          <w:rFonts w:hint="eastAsia"/>
          <w:color w:val="auto"/>
          <w:highlight w:val="none"/>
          <w:lang w:val="en-US" w:eastAsia="zh-CN"/>
        </w:rPr>
        <w:t>；</w:t>
      </w:r>
    </w:p>
    <w:p w14:paraId="7C3535DC">
      <w:pPr>
        <w:pStyle w:val="145"/>
        <w:numPr>
          <w:ilvl w:val="0"/>
          <w:numId w:val="39"/>
        </w:numPr>
        <w:tabs>
          <w:tab w:val="left" w:pos="839"/>
        </w:tabs>
        <w:rPr>
          <w:color w:val="auto"/>
          <w:highlight w:val="none"/>
        </w:rPr>
      </w:pPr>
      <w:r>
        <w:rPr>
          <w:rFonts w:hint="eastAsia"/>
          <w:color w:val="auto"/>
          <w:highlight w:val="none"/>
        </w:rPr>
        <w:t>应急预案备案登记表</w:t>
      </w:r>
      <w:r>
        <w:rPr>
          <w:rFonts w:hint="eastAsia"/>
          <w:color w:val="auto"/>
          <w:highlight w:val="none"/>
          <w:lang w:val="en-US" w:eastAsia="zh-CN"/>
        </w:rPr>
        <w:t>；</w:t>
      </w:r>
    </w:p>
    <w:p w14:paraId="55108FC3">
      <w:pPr>
        <w:pStyle w:val="145"/>
        <w:numPr>
          <w:ilvl w:val="0"/>
          <w:numId w:val="39"/>
        </w:numPr>
        <w:tabs>
          <w:tab w:val="left" w:pos="839"/>
        </w:tabs>
        <w:rPr>
          <w:color w:val="auto"/>
          <w:highlight w:val="none"/>
        </w:rPr>
      </w:pPr>
      <w:r>
        <w:rPr>
          <w:rFonts w:hint="eastAsia"/>
          <w:color w:val="auto"/>
          <w:highlight w:val="none"/>
        </w:rPr>
        <w:t>海洋石油主要负责人、安全管理人员安全生产知识与管理能力考核合格证书</w:t>
      </w:r>
      <w:r>
        <w:rPr>
          <w:rFonts w:hint="eastAsia"/>
          <w:color w:val="auto"/>
          <w:highlight w:val="none"/>
          <w:lang w:val="en-US" w:eastAsia="zh-CN"/>
        </w:rPr>
        <w:t>；</w:t>
      </w:r>
    </w:p>
    <w:p w14:paraId="68C834A4">
      <w:pPr>
        <w:pStyle w:val="145"/>
        <w:numPr>
          <w:ilvl w:val="0"/>
          <w:numId w:val="39"/>
        </w:numPr>
        <w:tabs>
          <w:tab w:val="left" w:pos="839"/>
        </w:tabs>
        <w:rPr>
          <w:color w:val="auto"/>
          <w:highlight w:val="none"/>
        </w:rPr>
      </w:pPr>
      <w:r>
        <w:rPr>
          <w:rFonts w:hint="eastAsia"/>
          <w:highlight w:val="none"/>
        </w:rPr>
        <w:t>海洋石油作业人员</w:t>
      </w:r>
      <w:r>
        <w:rPr>
          <w:rFonts w:hint="eastAsia"/>
          <w:color w:val="auto"/>
          <w:highlight w:val="none"/>
        </w:rPr>
        <w:t>证书</w:t>
      </w:r>
      <w:r>
        <w:rPr>
          <w:rFonts w:hint="eastAsia"/>
          <w:color w:val="auto"/>
          <w:highlight w:val="none"/>
          <w:lang w:val="en-US" w:eastAsia="zh-CN"/>
        </w:rPr>
        <w:t>台账；</w:t>
      </w:r>
    </w:p>
    <w:p w14:paraId="4593571C">
      <w:pPr>
        <w:pStyle w:val="145"/>
        <w:numPr>
          <w:ilvl w:val="0"/>
          <w:numId w:val="39"/>
        </w:numPr>
        <w:tabs>
          <w:tab w:val="left" w:pos="839"/>
        </w:tabs>
        <w:rPr>
          <w:color w:val="auto"/>
          <w:highlight w:val="none"/>
        </w:rPr>
      </w:pPr>
      <w:r>
        <w:rPr>
          <w:rFonts w:hint="eastAsia"/>
          <w:color w:val="auto"/>
          <w:highlight w:val="none"/>
        </w:rPr>
        <w:t>特种作业人员、特种设备操作人员证书台账</w:t>
      </w:r>
      <w:r>
        <w:rPr>
          <w:rFonts w:hint="eastAsia"/>
          <w:color w:val="auto"/>
          <w:highlight w:val="none"/>
          <w:lang w:val="en-US" w:eastAsia="zh-CN"/>
        </w:rPr>
        <w:t>；</w:t>
      </w:r>
    </w:p>
    <w:p w14:paraId="6828750D">
      <w:pPr>
        <w:pStyle w:val="145"/>
        <w:numPr>
          <w:ilvl w:val="0"/>
          <w:numId w:val="39"/>
        </w:numPr>
        <w:tabs>
          <w:tab w:val="left" w:pos="839"/>
        </w:tabs>
        <w:rPr>
          <w:color w:val="auto"/>
          <w:highlight w:val="none"/>
        </w:rPr>
      </w:pPr>
      <w:r>
        <w:rPr>
          <w:rFonts w:hint="eastAsia"/>
          <w:color w:val="auto"/>
          <w:highlight w:val="none"/>
          <w:lang w:val="en-US" w:eastAsia="zh-CN"/>
        </w:rPr>
        <w:t>应急救援协议；</w:t>
      </w:r>
    </w:p>
    <w:p w14:paraId="19FAD033">
      <w:pPr>
        <w:pStyle w:val="145"/>
        <w:numPr>
          <w:ilvl w:val="0"/>
          <w:numId w:val="39"/>
        </w:numPr>
        <w:tabs>
          <w:tab w:val="left" w:pos="839"/>
        </w:tabs>
        <w:rPr>
          <w:color w:val="auto"/>
          <w:highlight w:val="none"/>
        </w:rPr>
      </w:pPr>
      <w:r>
        <w:rPr>
          <w:rFonts w:hint="eastAsia"/>
          <w:color w:val="auto"/>
          <w:highlight w:val="none"/>
          <w:lang w:val="en-US" w:eastAsia="zh-CN"/>
        </w:rPr>
        <w:t>海上采油（气）企业应包括</w:t>
      </w:r>
      <w:r>
        <w:rPr>
          <w:rFonts w:hint="eastAsia"/>
          <w:color w:val="auto"/>
          <w:highlight w:val="none"/>
        </w:rPr>
        <w:t>采矿许可证</w:t>
      </w:r>
      <w:r>
        <w:rPr>
          <w:rFonts w:hint="eastAsia"/>
          <w:color w:val="auto"/>
          <w:highlight w:val="none"/>
          <w:lang w:val="en-US" w:eastAsia="zh-CN"/>
        </w:rPr>
        <w:t>，</w:t>
      </w:r>
      <w:r>
        <w:rPr>
          <w:rFonts w:hint="eastAsia"/>
          <w:color w:val="auto"/>
          <w:highlight w:val="none"/>
        </w:rPr>
        <w:t>海上设施符合证书</w:t>
      </w:r>
      <w:r>
        <w:rPr>
          <w:rFonts w:hint="eastAsia"/>
          <w:color w:val="auto"/>
          <w:highlight w:val="none"/>
          <w:lang w:val="en-US" w:eastAsia="zh-CN"/>
        </w:rPr>
        <w:t>，</w:t>
      </w:r>
      <w:r>
        <w:rPr>
          <w:rFonts w:hint="eastAsia"/>
          <w:color w:val="auto"/>
          <w:highlight w:val="none"/>
        </w:rPr>
        <w:t>海上设施救生设备、无线电通信设备和信号设备符合证书</w:t>
      </w:r>
      <w:r>
        <w:rPr>
          <w:rFonts w:hint="eastAsia"/>
          <w:color w:val="auto"/>
          <w:highlight w:val="none"/>
          <w:lang w:eastAsia="zh-CN"/>
        </w:rPr>
        <w:t>，</w:t>
      </w:r>
      <w:r>
        <w:rPr>
          <w:rFonts w:hint="eastAsia"/>
          <w:color w:val="auto"/>
          <w:highlight w:val="none"/>
        </w:rPr>
        <w:t>海上设施防止油污染证书</w:t>
      </w:r>
      <w:r>
        <w:rPr>
          <w:rFonts w:hint="eastAsia"/>
          <w:color w:val="auto"/>
          <w:highlight w:val="none"/>
          <w:lang w:val="en-US" w:eastAsia="zh-CN"/>
        </w:rPr>
        <w:t>；浮式生产储油装置应包括</w:t>
      </w:r>
      <w:r>
        <w:rPr>
          <w:rFonts w:hint="eastAsia"/>
          <w:color w:val="auto"/>
          <w:highlight w:val="none"/>
        </w:rPr>
        <w:t>浮式生产储油装置相关证书</w:t>
      </w:r>
      <w:r>
        <w:rPr>
          <w:rFonts w:hint="eastAsia"/>
          <w:color w:val="auto"/>
          <w:highlight w:val="none"/>
          <w:lang w:val="en-US" w:eastAsia="zh-CN"/>
        </w:rPr>
        <w:t>；移动式平台应包括</w:t>
      </w:r>
      <w:r>
        <w:rPr>
          <w:rFonts w:hint="eastAsia"/>
          <w:color w:val="auto"/>
          <w:highlight w:val="none"/>
        </w:rPr>
        <w:t>移动</w:t>
      </w:r>
      <w:r>
        <w:rPr>
          <w:rFonts w:hint="eastAsia"/>
          <w:color w:val="auto"/>
          <w:highlight w:val="none"/>
          <w:lang w:val="en-US" w:eastAsia="zh-CN"/>
        </w:rPr>
        <w:t>式</w:t>
      </w:r>
      <w:r>
        <w:rPr>
          <w:rFonts w:hint="eastAsia"/>
          <w:color w:val="auto"/>
          <w:highlight w:val="none"/>
        </w:rPr>
        <w:t>平台相关证书</w:t>
      </w:r>
      <w:r>
        <w:rPr>
          <w:rFonts w:hint="eastAsia"/>
          <w:color w:val="auto"/>
          <w:highlight w:val="none"/>
          <w:lang w:val="en-US" w:eastAsia="zh-CN"/>
        </w:rPr>
        <w:t>；海洋石油作业设施应包括</w:t>
      </w:r>
      <w:r>
        <w:rPr>
          <w:rFonts w:hint="eastAsia"/>
          <w:color w:val="auto"/>
          <w:highlight w:val="none"/>
        </w:rPr>
        <w:t>作业设施备案文件</w:t>
      </w:r>
      <w:r>
        <w:rPr>
          <w:rFonts w:hint="eastAsia"/>
          <w:color w:val="auto"/>
          <w:highlight w:val="none"/>
          <w:lang w:val="en-US" w:eastAsia="zh-CN"/>
        </w:rPr>
        <w:t>；从事辐射作业和爆破作业的应包括</w:t>
      </w:r>
      <w:r>
        <w:rPr>
          <w:rFonts w:hint="eastAsia"/>
          <w:color w:val="auto"/>
          <w:highlight w:val="none"/>
        </w:rPr>
        <w:t>辐射安全许可证</w:t>
      </w:r>
      <w:r>
        <w:rPr>
          <w:rFonts w:hint="eastAsia"/>
          <w:color w:val="auto"/>
          <w:highlight w:val="none"/>
          <w:lang w:val="en-US" w:eastAsia="zh-CN"/>
        </w:rPr>
        <w:t>和</w:t>
      </w:r>
      <w:r>
        <w:rPr>
          <w:rFonts w:hint="eastAsia"/>
          <w:color w:val="auto"/>
          <w:highlight w:val="none"/>
        </w:rPr>
        <w:t>爆破作业</w:t>
      </w:r>
      <w:r>
        <w:rPr>
          <w:rFonts w:hint="eastAsia"/>
          <w:color w:val="auto"/>
          <w:highlight w:val="none"/>
          <w:lang w:val="en-US" w:eastAsia="zh-CN"/>
        </w:rPr>
        <w:t>单位许可</w:t>
      </w:r>
      <w:r>
        <w:rPr>
          <w:rFonts w:hint="eastAsia"/>
          <w:color w:val="auto"/>
          <w:highlight w:val="none"/>
        </w:rPr>
        <w:t>证</w:t>
      </w:r>
      <w:r>
        <w:rPr>
          <w:rFonts w:hint="eastAsia"/>
          <w:color w:val="auto"/>
          <w:highlight w:val="none"/>
          <w:lang w:val="en-US" w:eastAsia="zh-CN"/>
        </w:rPr>
        <w:t>；</w:t>
      </w:r>
    </w:p>
    <w:p w14:paraId="126FF642">
      <w:pPr>
        <w:pStyle w:val="145"/>
        <w:numPr>
          <w:ilvl w:val="0"/>
          <w:numId w:val="39"/>
        </w:numPr>
        <w:tabs>
          <w:tab w:val="left" w:pos="839"/>
        </w:tabs>
        <w:rPr>
          <w:rFonts w:hint="eastAsia"/>
          <w:color w:val="auto"/>
          <w:highlight w:val="none"/>
          <w:lang w:val="en-US" w:eastAsia="zh-CN"/>
        </w:rPr>
      </w:pPr>
      <w:r>
        <w:rPr>
          <w:rFonts w:hint="eastAsia"/>
          <w:color w:val="auto"/>
          <w:highlight w:val="none"/>
        </w:rPr>
        <w:t>评价人员工作内容记录表、现场踏勘汇总表、隐患问题整改表、评价过程会商表等工作记录</w:t>
      </w:r>
      <w:r>
        <w:rPr>
          <w:rFonts w:hint="eastAsia"/>
          <w:color w:val="auto"/>
          <w:highlight w:val="none"/>
          <w:lang w:eastAsia="zh-CN"/>
        </w:rPr>
        <w:t>；</w:t>
      </w:r>
    </w:p>
    <w:p w14:paraId="0E62ECA1">
      <w:pPr>
        <w:pStyle w:val="145"/>
        <w:numPr>
          <w:ilvl w:val="0"/>
          <w:numId w:val="39"/>
        </w:numPr>
        <w:tabs>
          <w:tab w:val="left" w:pos="839"/>
        </w:tabs>
        <w:rPr>
          <w:rFonts w:hint="eastAsia" w:ascii="宋体" w:hAnsi="宋体" w:eastAsia="宋体" w:cs="宋体"/>
          <w:highlight w:val="none"/>
          <w:lang w:val="en-US" w:eastAsia="zh-CN"/>
        </w:rPr>
      </w:pPr>
      <w:r>
        <w:rPr>
          <w:rFonts w:hint="eastAsia"/>
          <w:color w:val="auto"/>
          <w:highlight w:val="none"/>
          <w:lang w:val="en-US" w:eastAsia="zh-CN"/>
        </w:rPr>
        <w:t>其他。</w:t>
      </w:r>
    </w:p>
    <w:p w14:paraId="3FDCE269">
      <w:pPr>
        <w:pStyle w:val="73"/>
        <w:adjustRightInd w:val="0"/>
        <w:spacing w:before="326" w:beforeLines="100" w:after="326" w:afterLines="100"/>
        <w:outlineLvl w:val="0"/>
        <w:rPr>
          <w:rFonts w:hint="default" w:hAnsi="黑体"/>
          <w:bCs/>
          <w:color w:val="000000"/>
          <w:szCs w:val="21"/>
          <w:highlight w:val="none"/>
          <w:lang w:val="en-US" w:eastAsia="zh-CN"/>
        </w:rPr>
      </w:pPr>
      <w:bookmarkStart w:id="147" w:name="_Toc7095"/>
      <w:r>
        <w:rPr>
          <w:rFonts w:hint="eastAsia" w:hAnsi="黑体"/>
          <w:bCs/>
          <w:color w:val="000000"/>
          <w:szCs w:val="21"/>
          <w:highlight w:val="none"/>
          <w:lang w:val="en-US" w:eastAsia="zh-CN"/>
        </w:rPr>
        <w:t>报告格式要求</w:t>
      </w:r>
      <w:bookmarkEnd w:id="147"/>
    </w:p>
    <w:p w14:paraId="22A6373D">
      <w:pPr>
        <w:pStyle w:val="147"/>
        <w:ind w:firstLine="420"/>
        <w:rPr>
          <w:rFonts w:hint="eastAsia" w:ascii="宋体" w:hAnsi="宋体" w:eastAsia="宋体" w:cs="宋体"/>
          <w:highlight w:val="none"/>
          <w:lang w:val="en-US" w:eastAsia="zh-CN"/>
        </w:rPr>
      </w:pPr>
      <w:r>
        <w:rPr>
          <w:rFonts w:hint="eastAsia" w:ascii="宋体" w:hAnsi="宋体" w:eastAsia="宋体" w:cs="宋体"/>
          <w:highlight w:val="none"/>
        </w:rPr>
        <w:t>安全</w:t>
      </w:r>
      <w:r>
        <w:rPr>
          <w:rFonts w:hint="eastAsia" w:ascii="宋体" w:hAnsi="宋体" w:eastAsia="宋体" w:cs="宋体"/>
          <w:highlight w:val="none"/>
          <w:lang w:val="en-US" w:eastAsia="zh-CN"/>
        </w:rPr>
        <w:t>现状</w:t>
      </w:r>
      <w:r>
        <w:rPr>
          <w:rFonts w:hint="eastAsia" w:ascii="宋体" w:hAnsi="宋体" w:eastAsia="宋体" w:cs="宋体"/>
          <w:highlight w:val="none"/>
        </w:rPr>
        <w:t>评价报告格式应符合附录</w:t>
      </w:r>
      <w:r>
        <w:rPr>
          <w:rFonts w:hint="eastAsia" w:hAnsi="宋体" w:cs="宋体"/>
          <w:highlight w:val="none"/>
          <w:lang w:val="en-US" w:eastAsia="zh-CN"/>
        </w:rPr>
        <w:t>C</w:t>
      </w:r>
      <w:r>
        <w:rPr>
          <w:rFonts w:hint="eastAsia" w:ascii="宋体" w:hAnsi="宋体" w:eastAsia="宋体" w:cs="宋体"/>
          <w:highlight w:val="none"/>
        </w:rPr>
        <w:t>的规定</w:t>
      </w:r>
      <w:r>
        <w:rPr>
          <w:rFonts w:hint="eastAsia" w:hAnsi="宋体" w:cs="宋体"/>
          <w:highlight w:val="none"/>
          <w:lang w:eastAsia="zh-CN"/>
        </w:rPr>
        <w:t>。</w:t>
      </w:r>
    </w:p>
    <w:bookmarkEnd w:id="138"/>
    <w:bookmarkEnd w:id="139"/>
    <w:bookmarkEnd w:id="140"/>
    <w:bookmarkEnd w:id="141"/>
    <w:bookmarkEnd w:id="142"/>
    <w:bookmarkEnd w:id="143"/>
    <w:bookmarkEnd w:id="144"/>
    <w:bookmarkEnd w:id="145"/>
    <w:bookmarkEnd w:id="146"/>
    <w:p w14:paraId="225E6691">
      <w:pPr>
        <w:pStyle w:val="147"/>
        <w:ind w:firstLine="420"/>
        <w:rPr>
          <w:highlight w:val="none"/>
        </w:rPr>
      </w:pPr>
    </w:p>
    <w:p w14:paraId="2950B6A1">
      <w:pPr>
        <w:pStyle w:val="147"/>
        <w:ind w:firstLine="420"/>
        <w:rPr>
          <w:rFonts w:hint="eastAsia" w:hAnsi="宋体" w:cs="宋体"/>
          <w:highlight w:val="none"/>
        </w:rPr>
      </w:pPr>
    </w:p>
    <w:bookmarkEnd w:id="91"/>
    <w:bookmarkEnd w:id="92"/>
    <w:bookmarkEnd w:id="93"/>
    <w:bookmarkEnd w:id="94"/>
    <w:p w14:paraId="1AFFE849">
      <w:pPr>
        <w:pStyle w:val="27"/>
        <w:rPr>
          <w:rFonts w:ascii="宋体" w:hAnsi="宋体" w:eastAsia="宋体" w:cs="宋体"/>
          <w:color w:val="000000"/>
          <w:highlight w:val="none"/>
        </w:rPr>
        <w:sectPr>
          <w:headerReference r:id="rId11" w:type="default"/>
          <w:footerReference r:id="rId13" w:type="default"/>
          <w:headerReference r:id="rId12" w:type="even"/>
          <w:footerReference r:id="rId14" w:type="even"/>
          <w:pgSz w:w="11906" w:h="16838"/>
          <w:pgMar w:top="1843" w:right="1134" w:bottom="1134" w:left="1417" w:header="1361" w:footer="1111" w:gutter="0"/>
          <w:pgNumType w:start="1"/>
          <w:cols w:space="0" w:num="1"/>
          <w:formProt w:val="0"/>
          <w:docGrid w:type="lines" w:linePitch="312" w:charSpace="0"/>
        </w:sectPr>
      </w:pPr>
    </w:p>
    <w:p w14:paraId="1F591E0F">
      <w:pPr>
        <w:pStyle w:val="73"/>
        <w:numPr>
          <w:ilvl w:val="0"/>
          <w:numId w:val="0"/>
        </w:numPr>
        <w:spacing w:before="620" w:beforeLines="0" w:after="0" w:afterLines="0"/>
        <w:jc w:val="center"/>
        <w:outlineLvl w:val="0"/>
        <w:rPr>
          <w:highlight w:val="none"/>
        </w:rPr>
      </w:pPr>
      <w:bookmarkStart w:id="148" w:name="_Toc19261"/>
      <w:r>
        <w:rPr>
          <w:highlight w:val="none"/>
        </w:rPr>
        <mc:AlternateContent>
          <mc:Choice Requires="wps">
            <w:drawing>
              <wp:anchor distT="0" distB="0" distL="114300" distR="114300" simplePos="0" relativeHeight="251727872" behindDoc="0" locked="0" layoutInCell="1" hidden="1" allowOverlap="1">
                <wp:simplePos x="0" y="0"/>
                <wp:positionH relativeFrom="column">
                  <wp:posOffset>2644775</wp:posOffset>
                </wp:positionH>
                <wp:positionV relativeFrom="paragraph">
                  <wp:posOffset>-192405</wp:posOffset>
                </wp:positionV>
                <wp:extent cx="0" cy="539750"/>
                <wp:effectExtent l="0" t="0" r="0" b="0"/>
                <wp:wrapNone/>
                <wp:docPr id="5" name="直接连接符 5" hidden="1"/>
                <wp:cNvGraphicFramePr/>
                <a:graphic xmlns:a="http://schemas.openxmlformats.org/drawingml/2006/main">
                  <a:graphicData uri="http://schemas.microsoft.com/office/word/2010/wordprocessingShape">
                    <wps:wsp>
                      <wps:cNvCnPr/>
                      <wps:spPr>
                        <a:xfrm>
                          <a:off x="3364865" y="1037590"/>
                          <a:ext cx="0" cy="53975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208.25pt;margin-top:-15.15pt;height:42.5pt;width:0pt;visibility:hidden;z-index:251727872;mso-width-relative:page;mso-height-relative:page;" filled="f" stroked="t" coordsize="21600,21600" o:gfxdata="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BtMtKtkAAAAKAQAADwAAAAAAAAABACAAAAAiAAAAZHJzL2Rvd25yZXYu&#10;eG1sUEsBAhQAFAAAAAgAh07iQB40eC76AQAAxwMAAA4AAAAAAAAAAQAgAAAAKAEAAGRycy9lMm9E&#10;b2MueG1sUEsFBgAAAAAGAAYAWQEAAJQFA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726848" behindDoc="0" locked="0" layoutInCell="1" hidden="1" allowOverlap="1">
                <wp:simplePos x="0" y="0"/>
                <wp:positionH relativeFrom="column">
                  <wp:posOffset>-157480</wp:posOffset>
                </wp:positionH>
                <wp:positionV relativeFrom="paragraph">
                  <wp:posOffset>-200025</wp:posOffset>
                </wp:positionV>
                <wp:extent cx="3460750" cy="0"/>
                <wp:effectExtent l="0" t="0" r="0" b="0"/>
                <wp:wrapNone/>
                <wp:docPr id="8" name="直接连接符 8" hidden="1"/>
                <wp:cNvGraphicFramePr/>
                <a:graphic xmlns:a="http://schemas.openxmlformats.org/drawingml/2006/main">
                  <a:graphicData uri="http://schemas.microsoft.com/office/word/2010/wordprocessingShape">
                    <wps:wsp>
                      <wps:cNvCnPr/>
                      <wps:spPr>
                        <a:xfrm>
                          <a:off x="911860" y="1029970"/>
                          <a:ext cx="346075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12.4pt;margin-top:-15.75pt;height:0pt;width:272.5pt;visibility:hidden;z-index:251726848;mso-width-relative:page;mso-height-relative:page;" filled="f" stroked="t" coordsize="21600,21600" o:gfxdata="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pc5jl2QAAAAsBAAAPAAAAAAAAAAEAIAAAACIAAABkcnMvZG93bnJldi54&#10;bWxQSwECFAAUAAAACACHTuJA3FgTZPkBAADHAwAADgAAAAAAAAABACAAAAAoAQAAZHJzL2Uyb0Rv&#10;Yy54bWxQSwUGAAAAAAYABgBZAQAAkwU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725824" behindDoc="0" locked="0" layoutInCell="1" hidden="1" allowOverlap="1">
                <wp:simplePos x="0" y="0"/>
                <wp:positionH relativeFrom="column">
                  <wp:posOffset>374650</wp:posOffset>
                </wp:positionH>
                <wp:positionV relativeFrom="paragraph">
                  <wp:posOffset>-1224280</wp:posOffset>
                </wp:positionV>
                <wp:extent cx="0" cy="899795"/>
                <wp:effectExtent l="0" t="0" r="0" b="0"/>
                <wp:wrapNone/>
                <wp:docPr id="12" name="直接连接符 12" hidden="1"/>
                <wp:cNvGraphicFramePr/>
                <a:graphic xmlns:a="http://schemas.openxmlformats.org/drawingml/2006/main">
                  <a:graphicData uri="http://schemas.microsoft.com/office/word/2010/wordprocessingShape">
                    <wps:wsp>
                      <wps:cNvCnPr/>
                      <wps:spPr>
                        <a:xfrm>
                          <a:off x="1094740" y="5715"/>
                          <a:ext cx="0" cy="89979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29.5pt;margin-top:-96.4pt;height:70.85pt;width:0pt;visibility:hidden;z-index:251725824;mso-width-relative:page;mso-height-relative:page;" filled="f" stroked="t" coordsize="21600,21600" o:gfxdata="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D9YIj7YAAAACgEAAA8AAAAAAAAAAQAgAAAAIgAAAGRycy9kb3ducmV2Lnht&#10;bFBLAQIUABQAAAAIAIdO4kAkg3N6+QEAAMYDAAAOAAAAAAAAAAEAIAAAACcBAABkcnMvZTJvRG9j&#10;LnhtbFBLBQYAAAAABgAGAFkBAACSBQAAAAA=&#10;">
                <v:fill on="f" focussize="0,0"/>
                <v:stroke weight="0.5pt" color="#ED7D31 [3205]" miterlimit="8" joinstyle="miter"/>
                <v:imagedata o:title=""/>
                <o:lock v:ext="edit" aspectratio="f"/>
              </v:line>
            </w:pict>
          </mc:Fallback>
        </mc:AlternateContent>
      </w:r>
      <w:r>
        <w:rPr>
          <w:rFonts w:hint="eastAsia"/>
          <w:highlight w:val="none"/>
        </w:rPr>
        <w:t>附　录　</w:t>
      </w:r>
      <w:r>
        <w:rPr>
          <w:rFonts w:hint="eastAsia" w:ascii="宋体" w:hAnsi="宋体" w:eastAsia="宋体" w:cs="宋体"/>
          <w:b/>
          <w:bCs/>
          <w:highlight w:val="none"/>
        </w:rPr>
        <w:t>A</w:t>
      </w:r>
      <w:bookmarkEnd w:id="148"/>
    </w:p>
    <w:p w14:paraId="24ABF249">
      <w:pPr>
        <w:jc w:val="center"/>
        <w:rPr>
          <w:rFonts w:ascii="黑体" w:hAnsi="黑体" w:eastAsia="黑体" w:cs="黑体"/>
          <w:highlight w:val="none"/>
        </w:rPr>
      </w:pPr>
      <w:r>
        <w:rPr>
          <w:rFonts w:hint="eastAsia" w:ascii="黑体" w:hAnsi="黑体" w:eastAsia="黑体" w:cs="黑体"/>
          <w:highlight w:val="none"/>
        </w:rPr>
        <w:t>（资料性）</w:t>
      </w:r>
    </w:p>
    <w:p w14:paraId="274B3647">
      <w:pPr>
        <w:jc w:val="center"/>
        <w:rPr>
          <w:rFonts w:hint="eastAsia" w:ascii="黑体" w:hAnsi="黑体" w:eastAsia="黑体" w:cs="黑体"/>
          <w:highlight w:val="none"/>
          <w:lang w:val="en-US" w:eastAsia="zh-CN"/>
        </w:rPr>
      </w:pPr>
      <w:r>
        <w:rPr>
          <w:rFonts w:hint="eastAsia" w:ascii="黑体" w:hAnsi="黑体" w:eastAsia="黑体" w:cs="黑体"/>
          <w:highlight w:val="none"/>
          <w:lang w:val="en-US" w:eastAsia="zh-CN"/>
        </w:rPr>
        <w:t>海洋石油天然气企业安全现状评价记录清单</w:t>
      </w:r>
    </w:p>
    <w:p w14:paraId="6F08C708">
      <w:pPr>
        <w:rPr>
          <w:color w:val="000000"/>
          <w:szCs w:val="21"/>
        </w:rPr>
      </w:pPr>
      <w:r>
        <w:rPr>
          <w:rFonts w:ascii="黑体" w:hAnsi="黑体" w:eastAsia="黑体"/>
        </w:rPr>
        <w:t>A.</w:t>
      </w:r>
      <w:r>
        <w:rPr>
          <w:rFonts w:hint="eastAsia" w:ascii="黑体" w:hAnsi="黑体" w:eastAsia="黑体"/>
        </w:rPr>
        <w:t>1</w:t>
      </w:r>
      <w:r>
        <w:rPr>
          <w:rFonts w:ascii="黑体" w:hAnsi="黑体" w:eastAsia="黑体"/>
        </w:rPr>
        <w:t>　</w:t>
      </w:r>
      <w:r>
        <w:rPr>
          <w:rFonts w:hint="eastAsia" w:ascii="黑体" w:hAnsi="黑体" w:eastAsia="黑体"/>
        </w:rPr>
        <w:t>工作内容</w:t>
      </w:r>
      <w:r>
        <w:rPr>
          <w:rFonts w:ascii="黑体" w:hAnsi="黑体" w:eastAsia="黑体"/>
        </w:rPr>
        <w:t>记录</w:t>
      </w:r>
      <w:r>
        <w:rPr>
          <w:rFonts w:hint="eastAsia" w:ascii="黑体" w:hAnsi="黑体" w:eastAsia="黑体"/>
        </w:rPr>
        <w:t>表</w:t>
      </w:r>
    </w:p>
    <w:p w14:paraId="55E50660">
      <w:pPr>
        <w:rPr>
          <w:rFonts w:hint="eastAsia" w:ascii="黑体" w:hAnsi="黑体" w:eastAsia="黑体"/>
        </w:rPr>
      </w:pPr>
      <w:r>
        <w:rPr>
          <w:rFonts w:ascii="黑体" w:hAnsi="黑体" w:eastAsia="黑体"/>
        </w:rPr>
        <w:t>A.</w:t>
      </w:r>
      <w:r>
        <w:rPr>
          <w:rFonts w:hint="eastAsia" w:ascii="黑体" w:hAnsi="黑体" w:eastAsia="黑体"/>
        </w:rPr>
        <w:t>1</w:t>
      </w:r>
      <w:r>
        <w:rPr>
          <w:rFonts w:ascii="黑体" w:hAnsi="黑体" w:eastAsia="黑体"/>
        </w:rPr>
        <w:t>.</w:t>
      </w:r>
      <w:r>
        <w:rPr>
          <w:rFonts w:hint="eastAsia" w:ascii="黑体" w:hAnsi="黑体" w:eastAsia="黑体"/>
        </w:rPr>
        <w:t>1</w:t>
      </w:r>
      <w:r>
        <w:rPr>
          <w:rFonts w:ascii="黑体" w:hAnsi="黑体" w:eastAsia="黑体"/>
        </w:rPr>
        <w:t>　</w:t>
      </w:r>
      <w:r>
        <w:rPr>
          <w:rFonts w:hint="eastAsia" w:ascii="黑体" w:hAnsi="黑体" w:eastAsia="黑体"/>
        </w:rPr>
        <w:t>表格填写</w:t>
      </w:r>
    </w:p>
    <w:p w14:paraId="547DE703">
      <w:pPr>
        <w:ind w:firstLine="420" w:firstLineChars="200"/>
        <w:rPr>
          <w:rFonts w:hint="eastAsia" w:ascii="宋体" w:hAnsi="宋体" w:eastAsia="宋体" w:cs="宋体"/>
          <w:color w:val="000000"/>
        </w:rPr>
      </w:pPr>
      <w:r>
        <w:rPr>
          <w:rFonts w:hint="eastAsia" w:ascii="宋体" w:hAnsi="宋体" w:cs="宋体"/>
          <w:color w:val="000000"/>
        </w:rPr>
        <w:t>A.1.1.1</w:t>
      </w:r>
      <w:r>
        <w:rPr>
          <w:rFonts w:hint="eastAsia" w:ascii="宋体" w:hAnsi="宋体" w:eastAsia="宋体" w:cs="宋体"/>
          <w:color w:val="000000"/>
          <w:lang w:eastAsia="zh-CN"/>
        </w:rPr>
        <w:t>安全</w:t>
      </w:r>
      <w:r>
        <w:rPr>
          <w:rFonts w:hint="eastAsia" w:ascii="宋体" w:hAnsi="宋体" w:eastAsia="宋体" w:cs="宋体"/>
          <w:color w:val="000000"/>
        </w:rPr>
        <w:t>评价项目组</w:t>
      </w:r>
      <w:r>
        <w:rPr>
          <w:rFonts w:hint="eastAsia" w:ascii="宋体" w:hAnsi="宋体" w:eastAsia="宋体" w:cs="宋体"/>
          <w:color w:val="000000"/>
          <w:lang w:eastAsia="zh-CN"/>
        </w:rPr>
        <w:t>按照</w:t>
      </w:r>
      <w:r>
        <w:rPr>
          <w:rFonts w:hint="eastAsia" w:ascii="宋体" w:hAnsi="宋体" w:eastAsia="宋体" w:cs="宋体"/>
          <w:color w:val="000000"/>
        </w:rPr>
        <w:t>一人一表</w:t>
      </w:r>
      <w:r>
        <w:rPr>
          <w:rFonts w:hint="eastAsia" w:ascii="宋体" w:hAnsi="宋体" w:eastAsia="宋体" w:cs="宋体"/>
          <w:color w:val="000000"/>
          <w:lang w:eastAsia="zh-CN"/>
        </w:rPr>
        <w:t>管理</w:t>
      </w:r>
      <w:r>
        <w:rPr>
          <w:rFonts w:hint="eastAsia" w:ascii="宋体" w:hAnsi="宋体" w:eastAsia="宋体" w:cs="宋体"/>
          <w:color w:val="000000"/>
        </w:rPr>
        <w:t>，填写内容包括项目组成员参加的全部工作内容。</w:t>
      </w:r>
    </w:p>
    <w:p w14:paraId="757A3075">
      <w:pPr>
        <w:ind w:firstLine="420" w:firstLineChars="200"/>
        <w:rPr>
          <w:rFonts w:hint="eastAsia" w:ascii="宋体" w:hAnsi="宋体" w:eastAsia="宋体" w:cs="宋体"/>
          <w:color w:val="000000"/>
        </w:rPr>
      </w:pPr>
      <w:r>
        <w:rPr>
          <w:rFonts w:hint="eastAsia" w:ascii="宋体" w:hAnsi="宋体" w:cs="宋体"/>
          <w:color w:val="000000"/>
        </w:rPr>
        <w:t>A.1.1.</w:t>
      </w:r>
      <w:r>
        <w:rPr>
          <w:rFonts w:hint="eastAsia" w:ascii="宋体" w:hAnsi="宋体" w:cs="宋体"/>
          <w:color w:val="000000"/>
          <w:lang w:val="en-US" w:eastAsia="zh-CN"/>
        </w:rPr>
        <w:t>2</w:t>
      </w:r>
      <w:r>
        <w:rPr>
          <w:rFonts w:hint="eastAsia" w:ascii="宋体" w:hAnsi="宋体" w:eastAsia="宋体" w:cs="宋体"/>
          <w:color w:val="000000"/>
        </w:rPr>
        <w:t>按时间段从前往后填写，一个时间段从事一项工作内容的列为一条，时间段最长不超过一天。同一时间段从事不同工作内容的，按工作内容划分多条，该时间段内多项工作内容反复交叉的可合并为一条，并在具体工作事项中说明。</w:t>
      </w:r>
    </w:p>
    <w:p w14:paraId="32565814">
      <w:pPr>
        <w:ind w:firstLine="420" w:firstLineChars="200"/>
        <w:rPr>
          <w:rFonts w:hint="eastAsia" w:ascii="宋体" w:hAnsi="宋体" w:eastAsia="宋体" w:cs="宋体"/>
          <w:color w:val="000000"/>
        </w:rPr>
      </w:pPr>
      <w:r>
        <w:rPr>
          <w:rFonts w:hint="eastAsia" w:ascii="宋体" w:hAnsi="宋体" w:cs="宋体"/>
          <w:color w:val="000000"/>
        </w:rPr>
        <w:t>A.1.1.</w:t>
      </w:r>
      <w:r>
        <w:rPr>
          <w:rFonts w:hint="eastAsia" w:ascii="宋体" w:hAnsi="宋体" w:cs="宋体"/>
          <w:color w:val="000000"/>
          <w:lang w:val="en-US" w:eastAsia="zh-CN"/>
        </w:rPr>
        <w:t>3</w:t>
      </w:r>
      <w:r>
        <w:rPr>
          <w:rFonts w:hint="eastAsia" w:ascii="宋体" w:hAnsi="宋体" w:eastAsia="宋体" w:cs="宋体"/>
          <w:color w:val="000000"/>
        </w:rPr>
        <w:t>工作内容选填：前期准备、现场勘察、资料收集整理、谈话交流、报告编制、报告评审。</w:t>
      </w:r>
    </w:p>
    <w:p w14:paraId="502ECC61">
      <w:pPr>
        <w:ind w:firstLine="420" w:firstLineChars="200"/>
        <w:rPr>
          <w:rFonts w:hint="eastAsia" w:ascii="宋体" w:hAnsi="宋体" w:eastAsia="宋体" w:cs="宋体"/>
          <w:color w:val="000000"/>
        </w:rPr>
      </w:pPr>
      <w:r>
        <w:rPr>
          <w:rFonts w:hint="eastAsia" w:ascii="宋体" w:hAnsi="宋体" w:cs="宋体"/>
          <w:color w:val="000000"/>
        </w:rPr>
        <w:t>A.1.1.</w:t>
      </w:r>
      <w:r>
        <w:rPr>
          <w:rFonts w:hint="eastAsia" w:ascii="宋体" w:hAnsi="宋体" w:cs="宋体"/>
          <w:color w:val="000000"/>
          <w:lang w:val="en-US" w:eastAsia="zh-CN"/>
        </w:rPr>
        <w:t>4</w:t>
      </w:r>
      <w:r>
        <w:rPr>
          <w:rFonts w:hint="eastAsia" w:ascii="宋体" w:hAnsi="宋体" w:eastAsia="宋体" w:cs="宋体"/>
          <w:color w:val="000000"/>
        </w:rPr>
        <w:t>具体工作地点，室内</w:t>
      </w:r>
      <w:r>
        <w:rPr>
          <w:rFonts w:hint="eastAsia" w:ascii="宋体" w:hAnsi="宋体" w:eastAsia="宋体" w:cs="宋体"/>
          <w:color w:val="000000"/>
          <w:lang w:eastAsia="zh-CN"/>
        </w:rPr>
        <w:t>说明</w:t>
      </w:r>
      <w:r>
        <w:rPr>
          <w:rFonts w:hint="eastAsia" w:ascii="宋体" w:hAnsi="宋体" w:eastAsia="宋体" w:cs="宋体"/>
          <w:color w:val="000000"/>
        </w:rPr>
        <w:t>楼栋、楼层、房间号等，室外</w:t>
      </w:r>
      <w:r>
        <w:rPr>
          <w:rFonts w:hint="eastAsia" w:ascii="宋体" w:hAnsi="宋体" w:eastAsia="宋体" w:cs="宋体"/>
          <w:color w:val="000000"/>
          <w:lang w:eastAsia="zh-CN"/>
        </w:rPr>
        <w:t>说明</w:t>
      </w:r>
      <w:r>
        <w:rPr>
          <w:rFonts w:hint="eastAsia" w:ascii="宋体" w:hAnsi="宋体" w:eastAsia="宋体" w:cs="宋体"/>
          <w:color w:val="000000"/>
          <w:highlight w:val="none"/>
          <w:lang w:eastAsia="zh-CN"/>
        </w:rPr>
        <w:t>某海洋石油生产设施、海洋石油作业设施、施工作业现场等的</w:t>
      </w:r>
      <w:r>
        <w:rPr>
          <w:rFonts w:hint="eastAsia" w:ascii="宋体" w:hAnsi="宋体" w:eastAsia="宋体" w:cs="宋体"/>
          <w:color w:val="000000"/>
          <w:highlight w:val="none"/>
        </w:rPr>
        <w:t>某</w:t>
      </w:r>
      <w:r>
        <w:rPr>
          <w:rFonts w:hint="eastAsia" w:ascii="宋体" w:hAnsi="宋体" w:eastAsia="宋体" w:cs="宋体"/>
          <w:color w:val="000000"/>
          <w:highlight w:val="none"/>
          <w:lang w:eastAsia="zh-CN"/>
        </w:rPr>
        <w:t>具体</w:t>
      </w:r>
      <w:r>
        <w:rPr>
          <w:rFonts w:hint="eastAsia" w:ascii="宋体" w:hAnsi="宋体" w:eastAsia="宋体" w:cs="宋体"/>
          <w:color w:val="000000"/>
          <w:highlight w:val="none"/>
        </w:rPr>
        <w:t>位置，</w:t>
      </w:r>
      <w:r>
        <w:rPr>
          <w:rFonts w:hint="eastAsia" w:ascii="宋体" w:hAnsi="宋体" w:eastAsia="宋体" w:cs="宋体"/>
          <w:color w:val="000000"/>
        </w:rPr>
        <w:t>无视频监控时须留存照片或视频待查。</w:t>
      </w:r>
    </w:p>
    <w:p w14:paraId="194C9596">
      <w:pPr>
        <w:ind w:firstLine="420" w:firstLineChars="200"/>
        <w:rPr>
          <w:rFonts w:hint="eastAsia" w:ascii="宋体" w:hAnsi="宋体" w:eastAsia="宋体" w:cs="宋体"/>
          <w:color w:val="000000"/>
        </w:rPr>
      </w:pPr>
      <w:r>
        <w:rPr>
          <w:rFonts w:hint="eastAsia" w:ascii="宋体" w:hAnsi="宋体" w:cs="宋体"/>
          <w:color w:val="000000"/>
        </w:rPr>
        <w:t>A.1.1.</w:t>
      </w:r>
      <w:r>
        <w:rPr>
          <w:rFonts w:hint="eastAsia" w:ascii="宋体" w:hAnsi="宋体" w:cs="宋体"/>
          <w:color w:val="000000"/>
          <w:lang w:val="en-US" w:eastAsia="zh-CN"/>
        </w:rPr>
        <w:t>5</w:t>
      </w:r>
      <w:r>
        <w:rPr>
          <w:rFonts w:hint="eastAsia" w:ascii="宋体" w:hAnsi="宋体" w:eastAsia="宋体" w:cs="宋体"/>
          <w:color w:val="000000"/>
        </w:rPr>
        <w:t>具体工作事项，写明个人从事的具体工作，如整理哪些方面资料、与哪些人交流会商、检查哪些设备、查看哪些作业活动等。</w:t>
      </w:r>
    </w:p>
    <w:p w14:paraId="5FEFBD36">
      <w:pPr>
        <w:ind w:firstLine="420" w:firstLineChars="200"/>
        <w:rPr>
          <w:rFonts w:hint="eastAsia" w:ascii="宋体" w:hAnsi="宋体" w:eastAsia="宋体" w:cs="宋体"/>
          <w:color w:val="000000"/>
        </w:rPr>
      </w:pPr>
      <w:r>
        <w:rPr>
          <w:rFonts w:hint="eastAsia" w:ascii="宋体" w:hAnsi="宋体" w:cs="宋体"/>
          <w:color w:val="000000"/>
        </w:rPr>
        <w:t>A.1.1.</w:t>
      </w:r>
      <w:r>
        <w:rPr>
          <w:rFonts w:hint="eastAsia" w:ascii="宋体" w:hAnsi="宋体" w:cs="宋体"/>
          <w:color w:val="000000"/>
          <w:lang w:val="en-US" w:eastAsia="zh-CN"/>
        </w:rPr>
        <w:t>6</w:t>
      </w:r>
      <w:r>
        <w:rPr>
          <w:rFonts w:hint="eastAsia" w:ascii="宋体" w:hAnsi="宋体" w:eastAsia="宋体" w:cs="宋体"/>
          <w:color w:val="000000"/>
        </w:rPr>
        <w:t>开始时间、结束时间采用24小时制，工时单位为小时，按四舍五入保留一位小数。</w:t>
      </w:r>
    </w:p>
    <w:p w14:paraId="54476B09">
      <w:pPr>
        <w:ind w:firstLine="420" w:firstLineChars="200"/>
        <w:rPr>
          <w:rFonts w:hint="eastAsia" w:ascii="宋体" w:hAnsi="宋体" w:eastAsia="宋体" w:cs="宋体"/>
          <w:color w:val="000000"/>
        </w:rPr>
      </w:pPr>
      <w:r>
        <w:rPr>
          <w:rFonts w:hint="eastAsia" w:ascii="宋体" w:hAnsi="宋体" w:cs="宋体"/>
          <w:color w:val="000000"/>
        </w:rPr>
        <w:t>A.1.1.</w:t>
      </w:r>
      <w:r>
        <w:rPr>
          <w:rFonts w:hint="eastAsia" w:ascii="宋体" w:hAnsi="宋体" w:cs="宋体"/>
          <w:color w:val="000000"/>
          <w:lang w:val="en-US" w:eastAsia="zh-CN"/>
        </w:rPr>
        <w:t>7</w:t>
      </w:r>
      <w:r>
        <w:rPr>
          <w:rFonts w:hint="eastAsia" w:ascii="宋体" w:hAnsi="宋体" w:eastAsia="宋体" w:cs="宋体"/>
          <w:color w:val="000000"/>
        </w:rPr>
        <w:t>累计工时为该人员在该评价项目中的全部工作时间。</w:t>
      </w:r>
    </w:p>
    <w:p w14:paraId="12F8F0A5">
      <w:pPr>
        <w:rPr>
          <w:rFonts w:hint="eastAsia" w:ascii="黑体" w:hAnsi="黑体" w:eastAsia="黑体"/>
        </w:rPr>
      </w:pPr>
      <w:r>
        <w:rPr>
          <w:rFonts w:ascii="黑体" w:hAnsi="黑体" w:eastAsia="黑体"/>
        </w:rPr>
        <w:t>A.</w:t>
      </w:r>
      <w:r>
        <w:rPr>
          <w:rFonts w:hint="eastAsia" w:ascii="黑体" w:hAnsi="黑体" w:eastAsia="黑体"/>
        </w:rPr>
        <w:t>1</w:t>
      </w:r>
      <w:r>
        <w:rPr>
          <w:rFonts w:ascii="黑体" w:hAnsi="黑体" w:eastAsia="黑体"/>
        </w:rPr>
        <w:t>.</w:t>
      </w:r>
      <w:r>
        <w:rPr>
          <w:rFonts w:hint="eastAsia" w:ascii="黑体" w:hAnsi="黑体" w:eastAsia="黑体"/>
        </w:rPr>
        <w:t>2</w:t>
      </w:r>
      <w:r>
        <w:rPr>
          <w:rFonts w:ascii="黑体" w:hAnsi="黑体" w:eastAsia="黑体"/>
        </w:rPr>
        <w:t>　</w:t>
      </w:r>
      <w:r>
        <w:rPr>
          <w:rFonts w:hint="eastAsia" w:ascii="黑体" w:hAnsi="黑体" w:eastAsia="黑体"/>
        </w:rPr>
        <w:t>表格格式</w:t>
      </w:r>
    </w:p>
    <w:p w14:paraId="668AB7E6">
      <w:pPr>
        <w:ind w:firstLine="420" w:firstLineChars="200"/>
        <w:rPr>
          <w:rFonts w:ascii="宋体" w:hAnsi="宋体" w:cs="宋体"/>
          <w:color w:val="000000"/>
        </w:rPr>
      </w:pPr>
      <w:r>
        <w:rPr>
          <w:rFonts w:hint="eastAsia" w:ascii="宋体" w:hAnsi="宋体" w:cs="宋体"/>
          <w:color w:val="000000"/>
        </w:rPr>
        <w:t>按照表A.1的格式编制工作内容记录表。</w:t>
      </w:r>
    </w:p>
    <w:p w14:paraId="0D7E985A">
      <w:pPr>
        <w:jc w:val="center"/>
        <w:rPr>
          <w:rFonts w:hint="eastAsia" w:ascii="黑体" w:hAnsi="黑体" w:eastAsia="黑体"/>
        </w:rPr>
      </w:pPr>
      <w:r>
        <w:rPr>
          <w:rFonts w:ascii="黑体" w:hAnsi="黑体" w:eastAsia="黑体"/>
        </w:rPr>
        <w:t>表</w:t>
      </w:r>
      <w:r>
        <w:rPr>
          <w:rFonts w:hint="eastAsia" w:ascii="黑体" w:hAnsi="黑体" w:eastAsia="黑体"/>
        </w:rPr>
        <w:t>A.1</w:t>
      </w:r>
      <w:r>
        <w:rPr>
          <w:rFonts w:ascii="黑体" w:hAnsi="黑体" w:eastAsia="黑体"/>
        </w:rPr>
        <w:t xml:space="preserve">  </w:t>
      </w:r>
      <w:r>
        <w:rPr>
          <w:rFonts w:hint="eastAsia" w:ascii="黑体" w:hAnsi="黑体" w:eastAsia="黑体"/>
        </w:rPr>
        <w:t>工作内容记录表</w:t>
      </w:r>
    </w:p>
    <w:tbl>
      <w:tblPr>
        <w:tblStyle w:val="36"/>
        <w:tblW w:w="5117" w:type="pct"/>
        <w:jc w:val="center"/>
        <w:shd w:val="clear" w:color="auto" w:fill="FFFFFF"/>
        <w:tblLayout w:type="autofit"/>
        <w:tblCellMar>
          <w:top w:w="15" w:type="dxa"/>
          <w:left w:w="15" w:type="dxa"/>
          <w:bottom w:w="15" w:type="dxa"/>
          <w:right w:w="15" w:type="dxa"/>
        </w:tblCellMar>
      </w:tblPr>
      <w:tblGrid>
        <w:gridCol w:w="1045"/>
        <w:gridCol w:w="789"/>
        <w:gridCol w:w="1254"/>
        <w:gridCol w:w="1672"/>
        <w:gridCol w:w="1725"/>
        <w:gridCol w:w="1091"/>
        <w:gridCol w:w="1070"/>
        <w:gridCol w:w="928"/>
      </w:tblGrid>
      <w:tr w14:paraId="034E48EF">
        <w:tblPrEx>
          <w:tblCellMar>
            <w:top w:w="15" w:type="dxa"/>
            <w:left w:w="15" w:type="dxa"/>
            <w:bottom w:w="15" w:type="dxa"/>
            <w:right w:w="15" w:type="dxa"/>
          </w:tblCellMar>
        </w:tblPrEx>
        <w:trPr>
          <w:trHeight w:val="439" w:hRule="exact"/>
          <w:jc w:val="center"/>
        </w:trPr>
        <w:tc>
          <w:tcPr>
            <w:tcW w:w="958" w:type="pct"/>
            <w:gridSpan w:val="2"/>
            <w:tcBorders>
              <w:top w:val="single" w:color="auto" w:sz="4" w:space="0"/>
              <w:left w:val="single" w:color="auto" w:sz="4" w:space="0"/>
              <w:bottom w:val="single" w:color="auto" w:sz="4" w:space="0"/>
              <w:right w:val="single" w:color="auto" w:sz="4" w:space="0"/>
            </w:tcBorders>
            <w:shd w:val="clear" w:color="auto" w:fill="FFFFFF"/>
            <w:noWrap w:val="0"/>
            <w:tcMar>
              <w:top w:w="100" w:type="dxa"/>
              <w:left w:w="0" w:type="dxa"/>
              <w:bottom w:w="100" w:type="dxa"/>
              <w:right w:w="160" w:type="dxa"/>
            </w:tcMar>
            <w:vAlign w:val="center"/>
          </w:tcPr>
          <w:p w14:paraId="32FE5C25">
            <w:pPr>
              <w:widowControl/>
              <w:jc w:val="center"/>
              <w:rPr>
                <w:rFonts w:ascii="Times New Roman" w:hAnsi="Times New Roman"/>
                <w:b/>
                <w:bCs/>
                <w:color w:val="0F1115"/>
                <w:kern w:val="0"/>
                <w:szCs w:val="21"/>
                <w:lang w:bidi="ar"/>
              </w:rPr>
            </w:pPr>
            <w:r>
              <w:rPr>
                <w:rFonts w:ascii="Times New Roman" w:hAnsi="Times New Roman" w:cs="宋体"/>
                <w:szCs w:val="21"/>
              </w:rPr>
              <w:t>姓 名</w:t>
            </w:r>
          </w:p>
        </w:tc>
        <w:tc>
          <w:tcPr>
            <w:tcW w:w="1528" w:type="pct"/>
            <w:gridSpan w:val="2"/>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0F1CB732">
            <w:pPr>
              <w:widowControl/>
              <w:jc w:val="center"/>
              <w:rPr>
                <w:rFonts w:ascii="Times New Roman" w:hAnsi="Times New Roman"/>
                <w:b/>
                <w:bCs/>
                <w:color w:val="0F1115"/>
                <w:kern w:val="0"/>
                <w:szCs w:val="21"/>
                <w:lang w:bidi="ar"/>
              </w:rPr>
            </w:pPr>
          </w:p>
        </w:tc>
        <w:tc>
          <w:tcPr>
            <w:tcW w:w="901"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38C598EB">
            <w:pPr>
              <w:widowControl/>
              <w:jc w:val="center"/>
              <w:rPr>
                <w:rFonts w:ascii="Times New Roman" w:hAnsi="Times New Roman"/>
                <w:b/>
                <w:bCs/>
                <w:color w:val="0F1115"/>
                <w:kern w:val="0"/>
                <w:szCs w:val="21"/>
                <w:lang w:bidi="ar"/>
              </w:rPr>
            </w:pPr>
            <w:r>
              <w:rPr>
                <w:rFonts w:ascii="Times New Roman" w:hAnsi="Times New Roman" w:cs="宋体"/>
                <w:szCs w:val="21"/>
              </w:rPr>
              <w:t>项目名称</w:t>
            </w:r>
          </w:p>
        </w:tc>
        <w:tc>
          <w:tcPr>
            <w:tcW w:w="1613" w:type="pct"/>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2ADBA931">
            <w:pPr>
              <w:widowControl/>
              <w:jc w:val="center"/>
              <w:rPr>
                <w:rFonts w:ascii="Times New Roman" w:hAnsi="Times New Roman"/>
                <w:b/>
                <w:bCs/>
                <w:color w:val="0F1115"/>
                <w:kern w:val="0"/>
                <w:szCs w:val="21"/>
                <w:lang w:bidi="ar"/>
              </w:rPr>
            </w:pPr>
          </w:p>
        </w:tc>
      </w:tr>
      <w:tr w14:paraId="01B17AB4">
        <w:tblPrEx>
          <w:shd w:val="clear" w:color="auto" w:fill="FFFFFF"/>
          <w:tblCellMar>
            <w:top w:w="15" w:type="dxa"/>
            <w:left w:w="15" w:type="dxa"/>
            <w:bottom w:w="15" w:type="dxa"/>
            <w:right w:w="15" w:type="dxa"/>
          </w:tblCellMar>
        </w:tblPrEx>
        <w:trPr>
          <w:trHeight w:val="417" w:hRule="exact"/>
          <w:jc w:val="center"/>
        </w:trPr>
        <w:tc>
          <w:tcPr>
            <w:tcW w:w="958" w:type="pct"/>
            <w:gridSpan w:val="2"/>
            <w:tcBorders>
              <w:top w:val="single" w:color="auto" w:sz="4" w:space="0"/>
              <w:left w:val="single" w:color="auto" w:sz="4" w:space="0"/>
              <w:bottom w:val="single" w:color="auto" w:sz="4" w:space="0"/>
              <w:right w:val="single" w:color="auto" w:sz="4" w:space="0"/>
            </w:tcBorders>
            <w:shd w:val="clear" w:color="auto" w:fill="FFFFFF"/>
            <w:noWrap w:val="0"/>
            <w:tcMar>
              <w:top w:w="100" w:type="dxa"/>
              <w:left w:w="0" w:type="dxa"/>
              <w:bottom w:w="100" w:type="dxa"/>
              <w:right w:w="160" w:type="dxa"/>
            </w:tcMar>
            <w:vAlign w:val="center"/>
          </w:tcPr>
          <w:p w14:paraId="1192A465">
            <w:pPr>
              <w:widowControl/>
              <w:jc w:val="center"/>
              <w:rPr>
                <w:rFonts w:ascii="Times New Roman" w:hAnsi="Times New Roman"/>
                <w:b/>
                <w:bCs/>
                <w:color w:val="0F1115"/>
                <w:kern w:val="0"/>
                <w:szCs w:val="21"/>
                <w:lang w:bidi="ar"/>
              </w:rPr>
            </w:pPr>
            <w:r>
              <w:rPr>
                <w:rFonts w:ascii="Times New Roman" w:hAnsi="Times New Roman" w:cs="宋体"/>
                <w:szCs w:val="21"/>
              </w:rPr>
              <w:t>专业</w:t>
            </w:r>
            <w:r>
              <w:rPr>
                <w:rFonts w:hint="eastAsia" w:ascii="Times New Roman" w:hAnsi="Times New Roman" w:cs="宋体"/>
                <w:szCs w:val="21"/>
              </w:rPr>
              <w:t>能力</w:t>
            </w:r>
          </w:p>
        </w:tc>
        <w:tc>
          <w:tcPr>
            <w:tcW w:w="1528" w:type="pct"/>
            <w:gridSpan w:val="2"/>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75ADC180">
            <w:pPr>
              <w:widowControl/>
              <w:jc w:val="center"/>
              <w:rPr>
                <w:rFonts w:ascii="Times New Roman" w:hAnsi="Times New Roman"/>
                <w:b/>
                <w:bCs/>
                <w:color w:val="0F1115"/>
                <w:kern w:val="0"/>
                <w:szCs w:val="21"/>
                <w:lang w:bidi="ar"/>
              </w:rPr>
            </w:pPr>
          </w:p>
        </w:tc>
        <w:tc>
          <w:tcPr>
            <w:tcW w:w="901"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277C92B4">
            <w:pPr>
              <w:widowControl/>
              <w:jc w:val="center"/>
              <w:rPr>
                <w:rFonts w:ascii="Times New Roman" w:hAnsi="Times New Roman"/>
                <w:b/>
                <w:bCs/>
                <w:color w:val="0F1115"/>
                <w:kern w:val="0"/>
                <w:szCs w:val="21"/>
                <w:lang w:bidi="ar"/>
              </w:rPr>
            </w:pPr>
            <w:r>
              <w:rPr>
                <w:rFonts w:ascii="Times New Roman" w:hAnsi="Times New Roman" w:cs="宋体"/>
                <w:szCs w:val="21"/>
              </w:rPr>
              <w:t>项目角色</w:t>
            </w:r>
          </w:p>
        </w:tc>
        <w:tc>
          <w:tcPr>
            <w:tcW w:w="1613" w:type="pct"/>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1FF42458">
            <w:pPr>
              <w:widowControl/>
              <w:jc w:val="center"/>
              <w:rPr>
                <w:rFonts w:ascii="Times New Roman" w:hAnsi="Times New Roman"/>
                <w:b/>
                <w:bCs/>
                <w:color w:val="0F1115"/>
                <w:kern w:val="0"/>
                <w:szCs w:val="21"/>
                <w:lang w:bidi="ar"/>
              </w:rPr>
            </w:pPr>
          </w:p>
        </w:tc>
      </w:tr>
      <w:tr w14:paraId="28BE0B10">
        <w:tblPrEx>
          <w:shd w:val="clear" w:color="auto" w:fill="FFFFFF"/>
          <w:tblCellMar>
            <w:top w:w="15" w:type="dxa"/>
            <w:left w:w="15" w:type="dxa"/>
            <w:bottom w:w="15" w:type="dxa"/>
            <w:right w:w="15" w:type="dxa"/>
          </w:tblCellMar>
        </w:tblPrEx>
        <w:trPr>
          <w:trHeight w:val="854" w:hRule="exact"/>
          <w:jc w:val="center"/>
        </w:trPr>
        <w:tc>
          <w:tcPr>
            <w:tcW w:w="546"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0" w:type="dxa"/>
              <w:bottom w:w="100" w:type="dxa"/>
              <w:right w:w="160" w:type="dxa"/>
            </w:tcMar>
            <w:vAlign w:val="center"/>
          </w:tcPr>
          <w:p w14:paraId="3AC52904">
            <w:pPr>
              <w:widowControl/>
              <w:jc w:val="center"/>
              <w:rPr>
                <w:rFonts w:ascii="Times New Roman" w:hAnsi="Times New Roman"/>
                <w:b/>
                <w:bCs/>
                <w:color w:val="0F1115"/>
                <w:szCs w:val="21"/>
              </w:rPr>
            </w:pPr>
            <w:r>
              <w:rPr>
                <w:rFonts w:ascii="Times New Roman" w:hAnsi="Times New Roman"/>
                <w:b/>
                <w:bCs/>
                <w:color w:val="0F1115"/>
                <w:kern w:val="0"/>
                <w:szCs w:val="21"/>
                <w:lang w:bidi="ar"/>
              </w:rPr>
              <w:t>序号</w:t>
            </w:r>
          </w:p>
        </w:tc>
        <w:tc>
          <w:tcPr>
            <w:tcW w:w="412"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68CE8937">
            <w:pPr>
              <w:widowControl/>
              <w:jc w:val="center"/>
              <w:rPr>
                <w:rFonts w:ascii="Times New Roman" w:hAnsi="Times New Roman"/>
                <w:b/>
                <w:bCs/>
                <w:color w:val="0F1115"/>
                <w:szCs w:val="21"/>
              </w:rPr>
            </w:pPr>
            <w:r>
              <w:rPr>
                <w:rFonts w:ascii="Times New Roman" w:hAnsi="Times New Roman"/>
                <w:b/>
                <w:bCs/>
                <w:color w:val="0F1115"/>
                <w:kern w:val="0"/>
                <w:szCs w:val="21"/>
                <w:lang w:bidi="ar"/>
              </w:rPr>
              <w:t>日期</w:t>
            </w:r>
          </w:p>
        </w:tc>
        <w:tc>
          <w:tcPr>
            <w:tcW w:w="655"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3B69E990">
            <w:pPr>
              <w:widowControl/>
              <w:jc w:val="center"/>
              <w:rPr>
                <w:rFonts w:ascii="Times New Roman" w:hAnsi="Times New Roman"/>
                <w:b/>
                <w:bCs/>
                <w:color w:val="0F1115"/>
                <w:szCs w:val="21"/>
              </w:rPr>
            </w:pPr>
            <w:r>
              <w:rPr>
                <w:rFonts w:ascii="Times New Roman" w:hAnsi="Times New Roman"/>
                <w:b/>
                <w:bCs/>
                <w:color w:val="0F1115"/>
                <w:kern w:val="0"/>
                <w:szCs w:val="21"/>
                <w:lang w:bidi="ar"/>
              </w:rPr>
              <w:t>工作内容</w:t>
            </w: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6B9D40CC">
            <w:pPr>
              <w:widowControl/>
              <w:jc w:val="center"/>
              <w:rPr>
                <w:rFonts w:ascii="Times New Roman" w:hAnsi="Times New Roman"/>
                <w:b/>
                <w:bCs/>
                <w:color w:val="0F1115"/>
                <w:szCs w:val="21"/>
              </w:rPr>
            </w:pPr>
            <w:r>
              <w:rPr>
                <w:rFonts w:ascii="Times New Roman" w:hAnsi="Times New Roman"/>
                <w:b/>
                <w:bCs/>
                <w:color w:val="0F1115"/>
                <w:kern w:val="0"/>
                <w:szCs w:val="21"/>
                <w:lang w:bidi="ar"/>
              </w:rPr>
              <w:t>具体工作地点</w:t>
            </w:r>
          </w:p>
        </w:tc>
        <w:tc>
          <w:tcPr>
            <w:tcW w:w="901"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4A831879">
            <w:pPr>
              <w:widowControl/>
              <w:jc w:val="center"/>
              <w:rPr>
                <w:rFonts w:ascii="Times New Roman" w:hAnsi="Times New Roman"/>
                <w:b/>
                <w:bCs/>
                <w:color w:val="0F1115"/>
                <w:szCs w:val="21"/>
              </w:rPr>
            </w:pPr>
            <w:r>
              <w:rPr>
                <w:rFonts w:ascii="Times New Roman" w:hAnsi="Times New Roman"/>
                <w:b/>
                <w:bCs/>
                <w:color w:val="0F1115"/>
                <w:kern w:val="0"/>
                <w:szCs w:val="21"/>
                <w:lang w:bidi="ar"/>
              </w:rPr>
              <w:t>具体工作事项</w:t>
            </w:r>
          </w:p>
        </w:tc>
        <w:tc>
          <w:tcPr>
            <w:tcW w:w="570"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704681AD">
            <w:pPr>
              <w:widowControl/>
              <w:jc w:val="center"/>
              <w:rPr>
                <w:rFonts w:ascii="Times New Roman" w:hAnsi="Times New Roman"/>
                <w:b/>
                <w:bCs/>
                <w:color w:val="0F1115"/>
                <w:kern w:val="0"/>
                <w:szCs w:val="21"/>
                <w:lang w:bidi="ar"/>
              </w:rPr>
            </w:pPr>
            <w:r>
              <w:rPr>
                <w:rFonts w:ascii="Times New Roman" w:hAnsi="Times New Roman"/>
                <w:b/>
                <w:bCs/>
                <w:color w:val="0F1115"/>
                <w:kern w:val="0"/>
                <w:szCs w:val="21"/>
                <w:lang w:bidi="ar"/>
              </w:rPr>
              <w:t>开始</w:t>
            </w:r>
          </w:p>
          <w:p w14:paraId="20371EDA">
            <w:pPr>
              <w:widowControl/>
              <w:jc w:val="center"/>
              <w:rPr>
                <w:rFonts w:ascii="Times New Roman" w:hAnsi="Times New Roman"/>
                <w:b/>
                <w:bCs/>
                <w:color w:val="0F1115"/>
                <w:szCs w:val="21"/>
              </w:rPr>
            </w:pPr>
            <w:r>
              <w:rPr>
                <w:rFonts w:ascii="Times New Roman" w:hAnsi="Times New Roman"/>
                <w:b/>
                <w:bCs/>
                <w:color w:val="0F1115"/>
                <w:kern w:val="0"/>
                <w:szCs w:val="21"/>
                <w:lang w:bidi="ar"/>
              </w:rPr>
              <w:t>时间</w:t>
            </w:r>
          </w:p>
        </w:tc>
        <w:tc>
          <w:tcPr>
            <w:tcW w:w="559"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5B84FDDF">
            <w:pPr>
              <w:widowControl/>
              <w:jc w:val="center"/>
              <w:rPr>
                <w:rFonts w:ascii="Times New Roman" w:hAnsi="Times New Roman"/>
                <w:b/>
                <w:bCs/>
                <w:color w:val="0F1115"/>
                <w:kern w:val="0"/>
                <w:szCs w:val="21"/>
                <w:lang w:bidi="ar"/>
              </w:rPr>
            </w:pPr>
            <w:r>
              <w:rPr>
                <w:rFonts w:ascii="Times New Roman" w:hAnsi="Times New Roman"/>
                <w:b/>
                <w:bCs/>
                <w:color w:val="0F1115"/>
                <w:kern w:val="0"/>
                <w:szCs w:val="21"/>
                <w:lang w:bidi="ar"/>
              </w:rPr>
              <w:t>结束</w:t>
            </w:r>
          </w:p>
          <w:p w14:paraId="5A5B4B66">
            <w:pPr>
              <w:widowControl/>
              <w:jc w:val="center"/>
              <w:rPr>
                <w:rFonts w:ascii="Times New Roman" w:hAnsi="Times New Roman"/>
                <w:b/>
                <w:bCs/>
                <w:color w:val="0F1115"/>
                <w:szCs w:val="21"/>
              </w:rPr>
            </w:pPr>
            <w:r>
              <w:rPr>
                <w:rFonts w:ascii="Times New Roman" w:hAnsi="Times New Roman"/>
                <w:b/>
                <w:bCs/>
                <w:color w:val="0F1115"/>
                <w:kern w:val="0"/>
                <w:szCs w:val="21"/>
                <w:lang w:bidi="ar"/>
              </w:rPr>
              <w:t>时间</w:t>
            </w:r>
          </w:p>
        </w:tc>
        <w:tc>
          <w:tcPr>
            <w:tcW w:w="484"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5911EBA9">
            <w:pPr>
              <w:widowControl/>
              <w:jc w:val="center"/>
              <w:rPr>
                <w:rFonts w:ascii="Times New Roman" w:hAnsi="Times New Roman"/>
                <w:b/>
                <w:bCs/>
                <w:color w:val="0F1115"/>
                <w:kern w:val="0"/>
                <w:szCs w:val="21"/>
                <w:lang w:bidi="ar"/>
              </w:rPr>
            </w:pPr>
            <w:r>
              <w:rPr>
                <w:rFonts w:ascii="Times New Roman" w:hAnsi="Times New Roman"/>
                <w:b/>
                <w:bCs/>
                <w:color w:val="0F1115"/>
                <w:kern w:val="0"/>
                <w:szCs w:val="21"/>
                <w:lang w:bidi="ar"/>
              </w:rPr>
              <w:t>工时</w:t>
            </w:r>
          </w:p>
        </w:tc>
      </w:tr>
      <w:tr w14:paraId="77AA54AD">
        <w:tblPrEx>
          <w:shd w:val="clear" w:color="auto" w:fill="FFFFFF"/>
          <w:tblCellMar>
            <w:top w:w="15" w:type="dxa"/>
            <w:left w:w="15" w:type="dxa"/>
            <w:bottom w:w="15" w:type="dxa"/>
            <w:right w:w="15" w:type="dxa"/>
          </w:tblCellMar>
        </w:tblPrEx>
        <w:trPr>
          <w:trHeight w:val="795" w:hRule="exact"/>
          <w:jc w:val="center"/>
        </w:trPr>
        <w:tc>
          <w:tcPr>
            <w:tcW w:w="546"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0" w:type="dxa"/>
              <w:bottom w:w="100" w:type="dxa"/>
              <w:right w:w="160" w:type="dxa"/>
            </w:tcMar>
            <w:vAlign w:val="center"/>
          </w:tcPr>
          <w:p w14:paraId="469784A4">
            <w:pPr>
              <w:widowControl/>
              <w:jc w:val="center"/>
              <w:rPr>
                <w:rFonts w:ascii="Times New Roman" w:hAnsi="Times New Roman"/>
                <w:b/>
                <w:bCs/>
                <w:color w:val="0F1115"/>
                <w:kern w:val="0"/>
                <w:szCs w:val="21"/>
                <w:lang w:bidi="ar"/>
              </w:rPr>
            </w:pPr>
          </w:p>
        </w:tc>
        <w:tc>
          <w:tcPr>
            <w:tcW w:w="412"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03361F7A">
            <w:pPr>
              <w:widowControl/>
              <w:jc w:val="center"/>
              <w:rPr>
                <w:rFonts w:ascii="Times New Roman" w:hAnsi="Times New Roman"/>
                <w:b/>
                <w:bCs/>
                <w:color w:val="0F1115"/>
                <w:kern w:val="0"/>
                <w:szCs w:val="21"/>
                <w:lang w:bidi="ar"/>
              </w:rPr>
            </w:pPr>
          </w:p>
        </w:tc>
        <w:tc>
          <w:tcPr>
            <w:tcW w:w="655"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62B4AE14">
            <w:pPr>
              <w:widowControl/>
              <w:jc w:val="center"/>
              <w:rPr>
                <w:rFonts w:ascii="Times New Roman" w:hAnsi="Times New Roman"/>
                <w:b/>
                <w:bCs/>
                <w:color w:val="0F1115"/>
                <w:kern w:val="0"/>
                <w:szCs w:val="21"/>
                <w:lang w:bidi="ar"/>
              </w:rPr>
            </w:pP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17B581F6">
            <w:pPr>
              <w:widowControl/>
              <w:jc w:val="center"/>
              <w:rPr>
                <w:rFonts w:ascii="Times New Roman" w:hAnsi="Times New Roman"/>
                <w:b/>
                <w:bCs/>
                <w:color w:val="0F1115"/>
                <w:kern w:val="0"/>
                <w:szCs w:val="21"/>
                <w:lang w:bidi="ar"/>
              </w:rPr>
            </w:pPr>
          </w:p>
        </w:tc>
        <w:tc>
          <w:tcPr>
            <w:tcW w:w="901"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1C3CCC51">
            <w:pPr>
              <w:widowControl/>
              <w:jc w:val="center"/>
              <w:rPr>
                <w:rFonts w:ascii="Times New Roman" w:hAnsi="Times New Roman"/>
                <w:b/>
                <w:bCs/>
                <w:color w:val="0F1115"/>
                <w:kern w:val="0"/>
                <w:szCs w:val="21"/>
                <w:lang w:bidi="ar"/>
              </w:rPr>
            </w:pPr>
          </w:p>
        </w:tc>
        <w:tc>
          <w:tcPr>
            <w:tcW w:w="570"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106B8893">
            <w:pPr>
              <w:widowControl/>
              <w:jc w:val="center"/>
              <w:rPr>
                <w:rFonts w:ascii="Times New Roman" w:hAnsi="Times New Roman"/>
                <w:b/>
                <w:bCs/>
                <w:color w:val="0F1115"/>
                <w:kern w:val="0"/>
                <w:szCs w:val="21"/>
                <w:lang w:bidi="ar"/>
              </w:rPr>
            </w:pPr>
          </w:p>
        </w:tc>
        <w:tc>
          <w:tcPr>
            <w:tcW w:w="559"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4207D700">
            <w:pPr>
              <w:widowControl/>
              <w:jc w:val="center"/>
              <w:rPr>
                <w:rFonts w:ascii="Times New Roman" w:hAnsi="Times New Roman"/>
                <w:b/>
                <w:bCs/>
                <w:color w:val="0F1115"/>
                <w:kern w:val="0"/>
                <w:szCs w:val="21"/>
                <w:lang w:bidi="ar"/>
              </w:rPr>
            </w:pPr>
          </w:p>
        </w:tc>
        <w:tc>
          <w:tcPr>
            <w:tcW w:w="484"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0AF78352">
            <w:pPr>
              <w:widowControl/>
              <w:jc w:val="center"/>
              <w:rPr>
                <w:rFonts w:ascii="Times New Roman" w:hAnsi="Times New Roman"/>
                <w:b/>
                <w:bCs/>
                <w:color w:val="0F1115"/>
                <w:kern w:val="0"/>
                <w:szCs w:val="21"/>
                <w:lang w:bidi="ar"/>
              </w:rPr>
            </w:pPr>
          </w:p>
        </w:tc>
      </w:tr>
      <w:tr w14:paraId="0F010E3B">
        <w:tblPrEx>
          <w:shd w:val="clear" w:color="auto" w:fill="FFFFFF"/>
          <w:tblCellMar>
            <w:top w:w="15" w:type="dxa"/>
            <w:left w:w="15" w:type="dxa"/>
            <w:bottom w:w="15" w:type="dxa"/>
            <w:right w:w="15" w:type="dxa"/>
          </w:tblCellMar>
        </w:tblPrEx>
        <w:trPr>
          <w:trHeight w:val="795" w:hRule="exact"/>
          <w:jc w:val="center"/>
        </w:trPr>
        <w:tc>
          <w:tcPr>
            <w:tcW w:w="546"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0" w:type="dxa"/>
              <w:bottom w:w="100" w:type="dxa"/>
              <w:right w:w="160" w:type="dxa"/>
            </w:tcMar>
            <w:vAlign w:val="center"/>
          </w:tcPr>
          <w:p w14:paraId="6C6263DE">
            <w:pPr>
              <w:widowControl/>
              <w:jc w:val="center"/>
              <w:rPr>
                <w:rFonts w:ascii="Times New Roman" w:hAnsi="Times New Roman"/>
                <w:b/>
                <w:bCs/>
                <w:color w:val="0F1115"/>
                <w:kern w:val="0"/>
                <w:szCs w:val="21"/>
                <w:lang w:bidi="ar"/>
              </w:rPr>
            </w:pPr>
          </w:p>
        </w:tc>
        <w:tc>
          <w:tcPr>
            <w:tcW w:w="412"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2C4820BC">
            <w:pPr>
              <w:widowControl/>
              <w:jc w:val="center"/>
              <w:rPr>
                <w:rFonts w:ascii="Times New Roman" w:hAnsi="Times New Roman"/>
                <w:b/>
                <w:bCs/>
                <w:color w:val="0F1115"/>
                <w:kern w:val="0"/>
                <w:szCs w:val="21"/>
                <w:lang w:bidi="ar"/>
              </w:rPr>
            </w:pPr>
          </w:p>
        </w:tc>
        <w:tc>
          <w:tcPr>
            <w:tcW w:w="655"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6940C86C">
            <w:pPr>
              <w:widowControl/>
              <w:jc w:val="center"/>
              <w:rPr>
                <w:rFonts w:ascii="Times New Roman" w:hAnsi="Times New Roman"/>
                <w:b/>
                <w:bCs/>
                <w:color w:val="0F1115"/>
                <w:kern w:val="0"/>
                <w:szCs w:val="21"/>
                <w:lang w:bidi="ar"/>
              </w:rPr>
            </w:pP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78BC1886">
            <w:pPr>
              <w:widowControl/>
              <w:jc w:val="center"/>
              <w:rPr>
                <w:rFonts w:ascii="Times New Roman" w:hAnsi="Times New Roman"/>
                <w:b/>
                <w:bCs/>
                <w:color w:val="0F1115"/>
                <w:kern w:val="0"/>
                <w:szCs w:val="21"/>
                <w:lang w:bidi="ar"/>
              </w:rPr>
            </w:pPr>
          </w:p>
        </w:tc>
        <w:tc>
          <w:tcPr>
            <w:tcW w:w="901"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6B08AD4C">
            <w:pPr>
              <w:widowControl/>
              <w:jc w:val="center"/>
              <w:rPr>
                <w:rFonts w:ascii="Times New Roman" w:hAnsi="Times New Roman"/>
                <w:b/>
                <w:bCs/>
                <w:color w:val="0F1115"/>
                <w:kern w:val="0"/>
                <w:szCs w:val="21"/>
                <w:lang w:bidi="ar"/>
              </w:rPr>
            </w:pPr>
          </w:p>
        </w:tc>
        <w:tc>
          <w:tcPr>
            <w:tcW w:w="570"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35495F8D">
            <w:pPr>
              <w:widowControl/>
              <w:jc w:val="center"/>
              <w:rPr>
                <w:rFonts w:ascii="Times New Roman" w:hAnsi="Times New Roman"/>
                <w:b/>
                <w:bCs/>
                <w:color w:val="0F1115"/>
                <w:kern w:val="0"/>
                <w:szCs w:val="21"/>
                <w:lang w:bidi="ar"/>
              </w:rPr>
            </w:pPr>
          </w:p>
        </w:tc>
        <w:tc>
          <w:tcPr>
            <w:tcW w:w="559"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44DC8A1C">
            <w:pPr>
              <w:widowControl/>
              <w:jc w:val="center"/>
              <w:rPr>
                <w:rFonts w:ascii="Times New Roman" w:hAnsi="Times New Roman"/>
                <w:b/>
                <w:bCs/>
                <w:color w:val="0F1115"/>
                <w:kern w:val="0"/>
                <w:szCs w:val="21"/>
                <w:lang w:bidi="ar"/>
              </w:rPr>
            </w:pPr>
          </w:p>
        </w:tc>
        <w:tc>
          <w:tcPr>
            <w:tcW w:w="484"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6238F33E">
            <w:pPr>
              <w:widowControl/>
              <w:jc w:val="center"/>
              <w:rPr>
                <w:rFonts w:ascii="Times New Roman" w:hAnsi="Times New Roman"/>
                <w:b/>
                <w:bCs/>
                <w:color w:val="0F1115"/>
                <w:kern w:val="0"/>
                <w:szCs w:val="21"/>
                <w:lang w:bidi="ar"/>
              </w:rPr>
            </w:pPr>
          </w:p>
        </w:tc>
      </w:tr>
      <w:tr w14:paraId="0D9BE852">
        <w:tblPrEx>
          <w:shd w:val="clear" w:color="auto" w:fill="FFFFFF"/>
          <w:tblCellMar>
            <w:top w:w="15" w:type="dxa"/>
            <w:left w:w="15" w:type="dxa"/>
            <w:bottom w:w="15" w:type="dxa"/>
            <w:right w:w="15" w:type="dxa"/>
          </w:tblCellMar>
        </w:tblPrEx>
        <w:trPr>
          <w:trHeight w:val="795" w:hRule="exact"/>
          <w:jc w:val="center"/>
        </w:trPr>
        <w:tc>
          <w:tcPr>
            <w:tcW w:w="546"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0" w:type="dxa"/>
              <w:bottom w:w="100" w:type="dxa"/>
              <w:right w:w="160" w:type="dxa"/>
            </w:tcMar>
            <w:vAlign w:val="center"/>
          </w:tcPr>
          <w:p w14:paraId="6639083B">
            <w:pPr>
              <w:widowControl/>
              <w:jc w:val="center"/>
              <w:rPr>
                <w:rFonts w:ascii="Times New Roman" w:hAnsi="Times New Roman"/>
                <w:b/>
                <w:bCs/>
                <w:color w:val="0F1115"/>
                <w:kern w:val="0"/>
                <w:szCs w:val="21"/>
                <w:lang w:bidi="ar"/>
              </w:rPr>
            </w:pPr>
          </w:p>
        </w:tc>
        <w:tc>
          <w:tcPr>
            <w:tcW w:w="412"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167061D4">
            <w:pPr>
              <w:widowControl/>
              <w:jc w:val="center"/>
              <w:rPr>
                <w:rFonts w:ascii="Times New Roman" w:hAnsi="Times New Roman"/>
                <w:b/>
                <w:bCs/>
                <w:color w:val="0F1115"/>
                <w:kern w:val="0"/>
                <w:szCs w:val="21"/>
                <w:lang w:bidi="ar"/>
              </w:rPr>
            </w:pPr>
          </w:p>
        </w:tc>
        <w:tc>
          <w:tcPr>
            <w:tcW w:w="655"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38E41962">
            <w:pPr>
              <w:widowControl/>
              <w:jc w:val="center"/>
              <w:rPr>
                <w:rFonts w:ascii="Times New Roman" w:hAnsi="Times New Roman"/>
                <w:b/>
                <w:bCs/>
                <w:color w:val="0F1115"/>
                <w:kern w:val="0"/>
                <w:szCs w:val="21"/>
                <w:lang w:bidi="ar"/>
              </w:rPr>
            </w:pP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7EFF5547">
            <w:pPr>
              <w:widowControl/>
              <w:jc w:val="center"/>
              <w:rPr>
                <w:rFonts w:ascii="Times New Roman" w:hAnsi="Times New Roman"/>
                <w:b/>
                <w:bCs/>
                <w:color w:val="0F1115"/>
                <w:kern w:val="0"/>
                <w:szCs w:val="21"/>
                <w:lang w:bidi="ar"/>
              </w:rPr>
            </w:pPr>
          </w:p>
        </w:tc>
        <w:tc>
          <w:tcPr>
            <w:tcW w:w="901"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45A10609">
            <w:pPr>
              <w:widowControl/>
              <w:jc w:val="center"/>
              <w:rPr>
                <w:rFonts w:ascii="Times New Roman" w:hAnsi="Times New Roman"/>
                <w:b/>
                <w:bCs/>
                <w:color w:val="0F1115"/>
                <w:kern w:val="0"/>
                <w:szCs w:val="21"/>
                <w:lang w:bidi="ar"/>
              </w:rPr>
            </w:pPr>
          </w:p>
        </w:tc>
        <w:tc>
          <w:tcPr>
            <w:tcW w:w="570"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2A6822E2">
            <w:pPr>
              <w:widowControl/>
              <w:jc w:val="center"/>
              <w:rPr>
                <w:rFonts w:ascii="Times New Roman" w:hAnsi="Times New Roman"/>
                <w:b/>
                <w:bCs/>
                <w:color w:val="0F1115"/>
                <w:kern w:val="0"/>
                <w:szCs w:val="21"/>
                <w:lang w:bidi="ar"/>
              </w:rPr>
            </w:pPr>
          </w:p>
        </w:tc>
        <w:tc>
          <w:tcPr>
            <w:tcW w:w="559"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56F6215D">
            <w:pPr>
              <w:widowControl/>
              <w:jc w:val="center"/>
              <w:rPr>
                <w:rFonts w:ascii="Times New Roman" w:hAnsi="Times New Roman"/>
                <w:b/>
                <w:bCs/>
                <w:color w:val="0F1115"/>
                <w:kern w:val="0"/>
                <w:szCs w:val="21"/>
                <w:lang w:bidi="ar"/>
              </w:rPr>
            </w:pPr>
          </w:p>
        </w:tc>
        <w:tc>
          <w:tcPr>
            <w:tcW w:w="484"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6B72459C">
            <w:pPr>
              <w:widowControl/>
              <w:jc w:val="center"/>
              <w:rPr>
                <w:rFonts w:ascii="Times New Roman" w:hAnsi="Times New Roman"/>
                <w:b/>
                <w:bCs/>
                <w:color w:val="0F1115"/>
                <w:kern w:val="0"/>
                <w:szCs w:val="21"/>
                <w:lang w:bidi="ar"/>
              </w:rPr>
            </w:pPr>
          </w:p>
        </w:tc>
      </w:tr>
      <w:tr w14:paraId="1C42498B">
        <w:tblPrEx>
          <w:shd w:val="clear" w:color="auto" w:fill="FFFFFF"/>
          <w:tblCellMar>
            <w:top w:w="15" w:type="dxa"/>
            <w:left w:w="15" w:type="dxa"/>
            <w:bottom w:w="15" w:type="dxa"/>
            <w:right w:w="15" w:type="dxa"/>
          </w:tblCellMar>
        </w:tblPrEx>
        <w:trPr>
          <w:trHeight w:val="795" w:hRule="exact"/>
          <w:jc w:val="center"/>
        </w:trPr>
        <w:tc>
          <w:tcPr>
            <w:tcW w:w="546" w:type="pct"/>
            <w:tcBorders>
              <w:top w:val="single" w:color="auto" w:sz="4" w:space="0"/>
              <w:left w:val="single" w:color="auto" w:sz="4" w:space="0"/>
              <w:right w:val="single" w:color="auto" w:sz="4" w:space="0"/>
            </w:tcBorders>
            <w:shd w:val="clear" w:color="auto" w:fill="FFFFFF"/>
            <w:noWrap w:val="0"/>
            <w:tcMar>
              <w:top w:w="100" w:type="dxa"/>
              <w:left w:w="0" w:type="dxa"/>
              <w:bottom w:w="100" w:type="dxa"/>
              <w:right w:w="160" w:type="dxa"/>
            </w:tcMar>
            <w:vAlign w:val="center"/>
          </w:tcPr>
          <w:p w14:paraId="47C971C9">
            <w:pPr>
              <w:widowControl/>
              <w:jc w:val="center"/>
              <w:rPr>
                <w:rFonts w:ascii="Times New Roman" w:hAnsi="Times New Roman"/>
                <w:b/>
                <w:bCs/>
                <w:color w:val="0F1115"/>
                <w:kern w:val="0"/>
                <w:szCs w:val="21"/>
                <w:lang w:bidi="ar"/>
              </w:rPr>
            </w:pPr>
          </w:p>
        </w:tc>
        <w:tc>
          <w:tcPr>
            <w:tcW w:w="412" w:type="pct"/>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14:paraId="64166458">
            <w:pPr>
              <w:widowControl/>
              <w:jc w:val="center"/>
              <w:rPr>
                <w:rFonts w:ascii="Times New Roman" w:hAnsi="Times New Roman"/>
                <w:b/>
                <w:bCs/>
                <w:color w:val="0F1115"/>
                <w:kern w:val="0"/>
                <w:szCs w:val="21"/>
                <w:lang w:bidi="ar"/>
              </w:rPr>
            </w:pPr>
          </w:p>
        </w:tc>
        <w:tc>
          <w:tcPr>
            <w:tcW w:w="655" w:type="pct"/>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14:paraId="111881F3">
            <w:pPr>
              <w:widowControl/>
              <w:jc w:val="center"/>
              <w:rPr>
                <w:rFonts w:ascii="Times New Roman" w:hAnsi="Times New Roman"/>
                <w:b/>
                <w:bCs/>
                <w:color w:val="0F1115"/>
                <w:kern w:val="0"/>
                <w:szCs w:val="21"/>
                <w:lang w:bidi="ar"/>
              </w:rPr>
            </w:pPr>
          </w:p>
        </w:tc>
        <w:tc>
          <w:tcPr>
            <w:tcW w:w="873" w:type="pct"/>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14:paraId="4DAD63D8">
            <w:pPr>
              <w:widowControl/>
              <w:jc w:val="center"/>
              <w:rPr>
                <w:rFonts w:ascii="Times New Roman" w:hAnsi="Times New Roman"/>
                <w:b/>
                <w:bCs/>
                <w:color w:val="0F1115"/>
                <w:kern w:val="0"/>
                <w:szCs w:val="21"/>
                <w:lang w:bidi="ar"/>
              </w:rPr>
            </w:pPr>
          </w:p>
        </w:tc>
        <w:tc>
          <w:tcPr>
            <w:tcW w:w="901" w:type="pct"/>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14:paraId="6EF7EE9D">
            <w:pPr>
              <w:widowControl/>
              <w:jc w:val="center"/>
              <w:rPr>
                <w:rFonts w:ascii="Times New Roman" w:hAnsi="Times New Roman"/>
                <w:b/>
                <w:bCs/>
                <w:color w:val="0F1115"/>
                <w:kern w:val="0"/>
                <w:szCs w:val="21"/>
                <w:lang w:bidi="ar"/>
              </w:rPr>
            </w:pPr>
          </w:p>
        </w:tc>
        <w:tc>
          <w:tcPr>
            <w:tcW w:w="570" w:type="pct"/>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14:paraId="2263C4CC">
            <w:pPr>
              <w:widowControl/>
              <w:jc w:val="center"/>
              <w:rPr>
                <w:rFonts w:ascii="Times New Roman" w:hAnsi="Times New Roman"/>
                <w:b/>
                <w:bCs/>
                <w:color w:val="0F1115"/>
                <w:kern w:val="0"/>
                <w:szCs w:val="21"/>
                <w:lang w:bidi="ar"/>
              </w:rPr>
            </w:pPr>
          </w:p>
        </w:tc>
        <w:tc>
          <w:tcPr>
            <w:tcW w:w="559" w:type="pct"/>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14:paraId="677B525D">
            <w:pPr>
              <w:widowControl/>
              <w:jc w:val="center"/>
              <w:rPr>
                <w:rFonts w:ascii="Times New Roman" w:hAnsi="Times New Roman"/>
                <w:b/>
                <w:bCs/>
                <w:color w:val="0F1115"/>
                <w:kern w:val="0"/>
                <w:szCs w:val="21"/>
                <w:lang w:bidi="ar"/>
              </w:rPr>
            </w:pPr>
          </w:p>
        </w:tc>
        <w:tc>
          <w:tcPr>
            <w:tcW w:w="484" w:type="pct"/>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14:paraId="251A71BB">
            <w:pPr>
              <w:widowControl/>
              <w:jc w:val="center"/>
              <w:rPr>
                <w:rFonts w:ascii="Times New Roman" w:hAnsi="Times New Roman"/>
                <w:b/>
                <w:bCs/>
                <w:color w:val="0F1115"/>
                <w:kern w:val="0"/>
                <w:szCs w:val="21"/>
                <w:lang w:bidi="ar"/>
              </w:rPr>
            </w:pPr>
          </w:p>
        </w:tc>
      </w:tr>
      <w:tr w14:paraId="55C5F7C3">
        <w:tblPrEx>
          <w:shd w:val="clear" w:color="auto" w:fill="FFFFFF"/>
          <w:tblCellMar>
            <w:top w:w="15" w:type="dxa"/>
            <w:left w:w="15" w:type="dxa"/>
            <w:bottom w:w="15" w:type="dxa"/>
            <w:right w:w="15" w:type="dxa"/>
          </w:tblCellMar>
        </w:tblPrEx>
        <w:trPr>
          <w:trHeight w:val="795" w:hRule="exact"/>
          <w:jc w:val="center"/>
        </w:trPr>
        <w:tc>
          <w:tcPr>
            <w:tcW w:w="546" w:type="pct"/>
            <w:tcBorders>
              <w:top w:val="single" w:color="auto" w:sz="4" w:space="0"/>
              <w:left w:val="single" w:color="auto" w:sz="4" w:space="0"/>
              <w:right w:val="single" w:color="auto" w:sz="4" w:space="0"/>
            </w:tcBorders>
            <w:shd w:val="clear" w:color="auto" w:fill="FFFFFF"/>
            <w:noWrap w:val="0"/>
            <w:tcMar>
              <w:top w:w="100" w:type="dxa"/>
              <w:left w:w="0" w:type="dxa"/>
              <w:bottom w:w="100" w:type="dxa"/>
              <w:right w:w="160" w:type="dxa"/>
            </w:tcMar>
            <w:vAlign w:val="center"/>
          </w:tcPr>
          <w:p w14:paraId="2EC8AD76">
            <w:pPr>
              <w:widowControl/>
              <w:jc w:val="center"/>
              <w:rPr>
                <w:rFonts w:ascii="Times New Roman" w:hAnsi="Times New Roman"/>
                <w:b/>
                <w:bCs/>
                <w:color w:val="0F1115"/>
                <w:kern w:val="0"/>
                <w:szCs w:val="21"/>
                <w:lang w:bidi="ar"/>
              </w:rPr>
            </w:pPr>
          </w:p>
        </w:tc>
        <w:tc>
          <w:tcPr>
            <w:tcW w:w="412" w:type="pct"/>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14:paraId="7CDFCEEE">
            <w:pPr>
              <w:widowControl/>
              <w:jc w:val="center"/>
              <w:rPr>
                <w:rFonts w:ascii="Times New Roman" w:hAnsi="Times New Roman"/>
                <w:b/>
                <w:bCs/>
                <w:color w:val="0F1115"/>
                <w:kern w:val="0"/>
                <w:szCs w:val="21"/>
                <w:lang w:bidi="ar"/>
              </w:rPr>
            </w:pPr>
          </w:p>
        </w:tc>
        <w:tc>
          <w:tcPr>
            <w:tcW w:w="655" w:type="pct"/>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14:paraId="5FF2F57C">
            <w:pPr>
              <w:widowControl/>
              <w:jc w:val="center"/>
              <w:rPr>
                <w:rFonts w:ascii="Times New Roman" w:hAnsi="Times New Roman"/>
                <w:b/>
                <w:bCs/>
                <w:color w:val="0F1115"/>
                <w:kern w:val="0"/>
                <w:szCs w:val="21"/>
                <w:lang w:bidi="ar"/>
              </w:rPr>
            </w:pPr>
          </w:p>
        </w:tc>
        <w:tc>
          <w:tcPr>
            <w:tcW w:w="873" w:type="pct"/>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14:paraId="0458ECC1">
            <w:pPr>
              <w:widowControl/>
              <w:jc w:val="center"/>
              <w:rPr>
                <w:rFonts w:ascii="Times New Roman" w:hAnsi="Times New Roman"/>
                <w:b/>
                <w:bCs/>
                <w:color w:val="0F1115"/>
                <w:kern w:val="0"/>
                <w:szCs w:val="21"/>
                <w:lang w:bidi="ar"/>
              </w:rPr>
            </w:pPr>
          </w:p>
        </w:tc>
        <w:tc>
          <w:tcPr>
            <w:tcW w:w="901" w:type="pct"/>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14:paraId="02C16EAE">
            <w:pPr>
              <w:widowControl/>
              <w:jc w:val="center"/>
              <w:rPr>
                <w:rFonts w:ascii="Times New Roman" w:hAnsi="Times New Roman"/>
                <w:b/>
                <w:bCs/>
                <w:color w:val="0F1115"/>
                <w:kern w:val="0"/>
                <w:szCs w:val="21"/>
                <w:lang w:bidi="ar"/>
              </w:rPr>
            </w:pPr>
          </w:p>
        </w:tc>
        <w:tc>
          <w:tcPr>
            <w:tcW w:w="570" w:type="pct"/>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14:paraId="37AB1FFE">
            <w:pPr>
              <w:widowControl/>
              <w:jc w:val="center"/>
              <w:rPr>
                <w:rFonts w:ascii="Times New Roman" w:hAnsi="Times New Roman"/>
                <w:b/>
                <w:bCs/>
                <w:color w:val="0F1115"/>
                <w:kern w:val="0"/>
                <w:szCs w:val="21"/>
                <w:lang w:bidi="ar"/>
              </w:rPr>
            </w:pPr>
          </w:p>
        </w:tc>
        <w:tc>
          <w:tcPr>
            <w:tcW w:w="559" w:type="pct"/>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14:paraId="58C25088">
            <w:pPr>
              <w:widowControl/>
              <w:jc w:val="center"/>
              <w:rPr>
                <w:rFonts w:ascii="Times New Roman" w:hAnsi="Times New Roman"/>
                <w:b/>
                <w:bCs/>
                <w:color w:val="0F1115"/>
                <w:kern w:val="0"/>
                <w:szCs w:val="21"/>
                <w:lang w:bidi="ar"/>
              </w:rPr>
            </w:pPr>
          </w:p>
        </w:tc>
        <w:tc>
          <w:tcPr>
            <w:tcW w:w="484" w:type="pct"/>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14:paraId="641D295C">
            <w:pPr>
              <w:widowControl/>
              <w:jc w:val="center"/>
              <w:rPr>
                <w:rFonts w:ascii="Times New Roman" w:hAnsi="Times New Roman"/>
                <w:b/>
                <w:bCs/>
                <w:color w:val="0F1115"/>
                <w:kern w:val="0"/>
                <w:szCs w:val="21"/>
                <w:lang w:bidi="ar"/>
              </w:rPr>
            </w:pPr>
          </w:p>
        </w:tc>
      </w:tr>
      <w:tr w14:paraId="2231E082">
        <w:tblPrEx>
          <w:shd w:val="clear" w:color="auto" w:fill="FFFFFF"/>
          <w:tblCellMar>
            <w:top w:w="15" w:type="dxa"/>
            <w:left w:w="15" w:type="dxa"/>
            <w:bottom w:w="15" w:type="dxa"/>
            <w:right w:w="15" w:type="dxa"/>
          </w:tblCellMar>
        </w:tblPrEx>
        <w:trPr>
          <w:trHeight w:val="795" w:hRule="exact"/>
          <w:jc w:val="center"/>
        </w:trPr>
        <w:tc>
          <w:tcPr>
            <w:tcW w:w="4516" w:type="pct"/>
            <w:gridSpan w:val="7"/>
            <w:tcBorders>
              <w:top w:val="single" w:color="auto" w:sz="4" w:space="0"/>
              <w:left w:val="single" w:color="auto" w:sz="4" w:space="0"/>
              <w:right w:val="single" w:color="auto" w:sz="4" w:space="0"/>
            </w:tcBorders>
            <w:shd w:val="clear" w:color="auto" w:fill="FFFFFF"/>
            <w:noWrap w:val="0"/>
            <w:tcMar>
              <w:top w:w="100" w:type="dxa"/>
              <w:left w:w="0" w:type="dxa"/>
              <w:bottom w:w="100" w:type="dxa"/>
              <w:right w:w="160" w:type="dxa"/>
            </w:tcMar>
            <w:vAlign w:val="center"/>
          </w:tcPr>
          <w:p w14:paraId="7D1135C7">
            <w:pPr>
              <w:widowControl/>
              <w:jc w:val="center"/>
              <w:rPr>
                <w:rFonts w:ascii="Times New Roman" w:hAnsi="Times New Roman"/>
                <w:b/>
                <w:bCs/>
                <w:color w:val="0F1115"/>
                <w:kern w:val="0"/>
                <w:szCs w:val="21"/>
                <w:lang w:bidi="ar"/>
              </w:rPr>
            </w:pPr>
            <w:r>
              <w:rPr>
                <w:rFonts w:ascii="Times New Roman" w:hAnsi="Times New Roman"/>
                <w:b/>
                <w:bCs/>
                <w:color w:val="0F1115"/>
                <w:kern w:val="0"/>
                <w:szCs w:val="21"/>
                <w:lang w:bidi="ar"/>
              </w:rPr>
              <w:t>累计工时</w:t>
            </w:r>
          </w:p>
        </w:tc>
        <w:tc>
          <w:tcPr>
            <w:tcW w:w="484" w:type="pct"/>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14:paraId="72F05FD1">
            <w:pPr>
              <w:widowControl/>
              <w:jc w:val="center"/>
              <w:rPr>
                <w:rFonts w:ascii="Times New Roman" w:hAnsi="Times New Roman"/>
                <w:b/>
                <w:bCs/>
                <w:color w:val="0F1115"/>
                <w:kern w:val="0"/>
                <w:szCs w:val="21"/>
                <w:lang w:bidi="ar"/>
              </w:rPr>
            </w:pPr>
          </w:p>
        </w:tc>
      </w:tr>
      <w:tr w14:paraId="5C5273B7">
        <w:tblPrEx>
          <w:shd w:val="clear" w:color="auto" w:fill="FFFFFF"/>
          <w:tblCellMar>
            <w:top w:w="15" w:type="dxa"/>
            <w:left w:w="15" w:type="dxa"/>
            <w:bottom w:w="15" w:type="dxa"/>
            <w:right w:w="15" w:type="dxa"/>
          </w:tblCellMar>
        </w:tblPrEx>
        <w:trPr>
          <w:trHeight w:val="795" w:hRule="exact"/>
          <w:jc w:val="center"/>
        </w:trPr>
        <w:tc>
          <w:tcPr>
            <w:tcW w:w="958" w:type="pct"/>
            <w:gridSpan w:val="2"/>
            <w:tcBorders>
              <w:top w:val="single" w:color="auto" w:sz="4" w:space="0"/>
              <w:left w:val="single" w:color="auto" w:sz="4" w:space="0"/>
              <w:right w:val="single" w:color="auto" w:sz="4" w:space="0"/>
            </w:tcBorders>
            <w:shd w:val="clear" w:color="auto" w:fill="FFFFFF"/>
            <w:noWrap w:val="0"/>
            <w:tcMar>
              <w:top w:w="100" w:type="dxa"/>
              <w:left w:w="0" w:type="dxa"/>
              <w:bottom w:w="100" w:type="dxa"/>
              <w:right w:w="160" w:type="dxa"/>
            </w:tcMar>
            <w:vAlign w:val="center"/>
          </w:tcPr>
          <w:p w14:paraId="295677FE">
            <w:pPr>
              <w:widowControl/>
              <w:jc w:val="center"/>
              <w:rPr>
                <w:rFonts w:ascii="Times New Roman" w:hAnsi="Times New Roman"/>
                <w:b/>
                <w:bCs/>
                <w:color w:val="0F1115"/>
                <w:kern w:val="0"/>
                <w:szCs w:val="21"/>
                <w:lang w:bidi="ar"/>
              </w:rPr>
            </w:pPr>
            <w:r>
              <w:rPr>
                <w:rFonts w:hint="eastAsia" w:ascii="Times New Roman" w:hAnsi="Times New Roman" w:cs="宋体"/>
                <w:b/>
                <w:bCs/>
                <w:szCs w:val="21"/>
              </w:rPr>
              <w:t>本人签字</w:t>
            </w:r>
          </w:p>
        </w:tc>
        <w:tc>
          <w:tcPr>
            <w:tcW w:w="2429" w:type="pct"/>
            <w:gridSpan w:val="3"/>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14:paraId="69003A8D">
            <w:pPr>
              <w:widowControl/>
              <w:jc w:val="center"/>
              <w:rPr>
                <w:rFonts w:ascii="Times New Roman" w:hAnsi="Times New Roman"/>
                <w:b/>
                <w:bCs/>
                <w:color w:val="0F1115"/>
                <w:kern w:val="0"/>
                <w:szCs w:val="21"/>
                <w:lang w:bidi="ar"/>
              </w:rPr>
            </w:pPr>
          </w:p>
        </w:tc>
        <w:tc>
          <w:tcPr>
            <w:tcW w:w="570" w:type="pct"/>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14:paraId="70D80718">
            <w:pPr>
              <w:spacing w:line="280" w:lineRule="exact"/>
              <w:jc w:val="center"/>
              <w:rPr>
                <w:rFonts w:hint="eastAsia" w:ascii="Times New Roman" w:hAnsi="Times New Roman"/>
                <w:b/>
                <w:bCs/>
                <w:color w:val="0F1115"/>
                <w:kern w:val="0"/>
                <w:szCs w:val="21"/>
                <w:lang w:bidi="ar"/>
              </w:rPr>
            </w:pPr>
            <w:r>
              <w:rPr>
                <w:rFonts w:hint="eastAsia" w:ascii="Times New Roman" w:hAnsi="Times New Roman" w:cs="宋体"/>
                <w:b/>
                <w:bCs/>
                <w:szCs w:val="21"/>
              </w:rPr>
              <w:t>日期</w:t>
            </w:r>
          </w:p>
        </w:tc>
        <w:tc>
          <w:tcPr>
            <w:tcW w:w="1043" w:type="pct"/>
            <w:gridSpan w:val="2"/>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14:paraId="7FD7BC39">
            <w:pPr>
              <w:widowControl/>
              <w:jc w:val="center"/>
              <w:rPr>
                <w:rFonts w:ascii="Times New Roman" w:hAnsi="Times New Roman"/>
                <w:b/>
                <w:bCs/>
                <w:color w:val="0F1115"/>
                <w:kern w:val="0"/>
                <w:szCs w:val="21"/>
                <w:lang w:bidi="ar"/>
              </w:rPr>
            </w:pPr>
          </w:p>
        </w:tc>
      </w:tr>
      <w:tr w14:paraId="54215CEE">
        <w:tblPrEx>
          <w:shd w:val="clear" w:color="auto" w:fill="FFFFFF"/>
          <w:tblCellMar>
            <w:top w:w="15" w:type="dxa"/>
            <w:left w:w="15" w:type="dxa"/>
            <w:bottom w:w="15" w:type="dxa"/>
            <w:right w:w="15" w:type="dxa"/>
          </w:tblCellMar>
        </w:tblPrEx>
        <w:trPr>
          <w:trHeight w:val="795" w:hRule="exact"/>
          <w:jc w:val="center"/>
        </w:trPr>
        <w:tc>
          <w:tcPr>
            <w:tcW w:w="958" w:type="pct"/>
            <w:gridSpan w:val="2"/>
            <w:tcBorders>
              <w:top w:val="single" w:color="auto" w:sz="4" w:space="0"/>
              <w:left w:val="single" w:color="auto" w:sz="4" w:space="0"/>
              <w:bottom w:val="single" w:color="auto" w:sz="4" w:space="0"/>
              <w:right w:val="single" w:color="auto" w:sz="4" w:space="0"/>
            </w:tcBorders>
            <w:shd w:val="clear" w:color="auto" w:fill="FFFFFF"/>
            <w:noWrap w:val="0"/>
            <w:tcMar>
              <w:top w:w="100" w:type="dxa"/>
              <w:left w:w="0" w:type="dxa"/>
              <w:bottom w:w="100" w:type="dxa"/>
              <w:right w:w="160" w:type="dxa"/>
            </w:tcMar>
            <w:vAlign w:val="center"/>
          </w:tcPr>
          <w:p w14:paraId="1E9CFAEF">
            <w:pPr>
              <w:widowControl/>
              <w:jc w:val="center"/>
              <w:rPr>
                <w:rFonts w:ascii="Times New Roman" w:hAnsi="Times New Roman"/>
                <w:b/>
                <w:bCs/>
                <w:color w:val="0F1115"/>
                <w:kern w:val="0"/>
                <w:szCs w:val="21"/>
                <w:lang w:bidi="ar"/>
              </w:rPr>
            </w:pPr>
            <w:r>
              <w:rPr>
                <w:rFonts w:hint="eastAsia" w:ascii="Times New Roman" w:hAnsi="Times New Roman" w:cs="宋体"/>
                <w:b/>
                <w:bCs/>
                <w:szCs w:val="21"/>
              </w:rPr>
              <w:t>评价项目负责人签字</w:t>
            </w:r>
          </w:p>
        </w:tc>
        <w:tc>
          <w:tcPr>
            <w:tcW w:w="2429" w:type="pct"/>
            <w:gridSpan w:val="3"/>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594C2C45">
            <w:pPr>
              <w:widowControl/>
              <w:jc w:val="center"/>
              <w:rPr>
                <w:rFonts w:ascii="Times New Roman" w:hAnsi="Times New Roman"/>
                <w:b/>
                <w:bCs/>
                <w:color w:val="0F1115"/>
                <w:kern w:val="0"/>
                <w:szCs w:val="21"/>
                <w:lang w:bidi="ar"/>
              </w:rPr>
            </w:pPr>
          </w:p>
        </w:tc>
        <w:tc>
          <w:tcPr>
            <w:tcW w:w="570"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26B98929">
            <w:pPr>
              <w:spacing w:line="280" w:lineRule="exact"/>
              <w:jc w:val="center"/>
              <w:rPr>
                <w:rFonts w:hint="eastAsia" w:ascii="Times New Roman" w:hAnsi="Times New Roman"/>
                <w:b/>
                <w:bCs/>
                <w:color w:val="0F1115"/>
                <w:kern w:val="0"/>
                <w:szCs w:val="21"/>
                <w:lang w:bidi="ar"/>
              </w:rPr>
            </w:pPr>
            <w:r>
              <w:rPr>
                <w:rFonts w:hint="eastAsia" w:ascii="Times New Roman" w:hAnsi="Times New Roman"/>
                <w:b/>
                <w:bCs/>
                <w:szCs w:val="21"/>
              </w:rPr>
              <w:t>日期</w:t>
            </w:r>
          </w:p>
        </w:tc>
        <w:tc>
          <w:tcPr>
            <w:tcW w:w="1043" w:type="pct"/>
            <w:gridSpan w:val="2"/>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07587131">
            <w:pPr>
              <w:widowControl/>
              <w:jc w:val="center"/>
              <w:rPr>
                <w:rFonts w:ascii="Times New Roman" w:hAnsi="Times New Roman"/>
                <w:b/>
                <w:bCs/>
                <w:color w:val="0F1115"/>
                <w:kern w:val="0"/>
                <w:szCs w:val="21"/>
                <w:lang w:bidi="ar"/>
              </w:rPr>
            </w:pPr>
          </w:p>
        </w:tc>
      </w:tr>
      <w:tr w14:paraId="4A154A80">
        <w:tblPrEx>
          <w:shd w:val="clear" w:color="auto" w:fill="FFFFFF"/>
          <w:tblCellMar>
            <w:top w:w="15" w:type="dxa"/>
            <w:left w:w="15" w:type="dxa"/>
            <w:bottom w:w="15" w:type="dxa"/>
            <w:right w:w="15" w:type="dxa"/>
          </w:tblCellMar>
        </w:tblPrEx>
        <w:trPr>
          <w:trHeight w:val="795" w:hRule="exact"/>
          <w:jc w:val="center"/>
        </w:trPr>
        <w:tc>
          <w:tcPr>
            <w:tcW w:w="958" w:type="pct"/>
            <w:gridSpan w:val="2"/>
            <w:tcBorders>
              <w:top w:val="single" w:color="auto" w:sz="4" w:space="0"/>
              <w:left w:val="single" w:color="auto" w:sz="4" w:space="0"/>
              <w:bottom w:val="single" w:color="auto" w:sz="4" w:space="0"/>
              <w:right w:val="single" w:color="auto" w:sz="4" w:space="0"/>
            </w:tcBorders>
            <w:shd w:val="clear" w:color="auto" w:fill="FFFFFF"/>
            <w:noWrap w:val="0"/>
            <w:tcMar>
              <w:top w:w="100" w:type="dxa"/>
              <w:left w:w="0" w:type="dxa"/>
              <w:bottom w:w="100" w:type="dxa"/>
              <w:right w:w="160" w:type="dxa"/>
            </w:tcMar>
            <w:vAlign w:val="center"/>
          </w:tcPr>
          <w:p w14:paraId="0F6FEE4D">
            <w:pPr>
              <w:widowControl/>
              <w:jc w:val="center"/>
              <w:rPr>
                <w:rFonts w:ascii="Times New Roman" w:hAnsi="Times New Roman"/>
                <w:b/>
                <w:bCs/>
                <w:color w:val="0F1115"/>
                <w:kern w:val="0"/>
                <w:szCs w:val="21"/>
                <w:lang w:bidi="ar"/>
              </w:rPr>
            </w:pPr>
            <w:r>
              <w:rPr>
                <w:rFonts w:hint="eastAsia" w:ascii="Times New Roman" w:hAnsi="Times New Roman" w:cs="宋体"/>
                <w:b/>
                <w:bCs/>
                <w:szCs w:val="21"/>
              </w:rPr>
              <w:t>被评价企业负责人签字</w:t>
            </w:r>
          </w:p>
        </w:tc>
        <w:tc>
          <w:tcPr>
            <w:tcW w:w="2429" w:type="pct"/>
            <w:gridSpan w:val="3"/>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342640D0">
            <w:pPr>
              <w:widowControl/>
              <w:jc w:val="center"/>
              <w:rPr>
                <w:rFonts w:ascii="Times New Roman" w:hAnsi="Times New Roman"/>
                <w:b/>
                <w:bCs/>
                <w:color w:val="0F1115"/>
                <w:kern w:val="0"/>
                <w:szCs w:val="21"/>
                <w:lang w:bidi="ar"/>
              </w:rPr>
            </w:pPr>
          </w:p>
        </w:tc>
        <w:tc>
          <w:tcPr>
            <w:tcW w:w="570"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3241F640">
            <w:pPr>
              <w:spacing w:line="280" w:lineRule="exact"/>
              <w:jc w:val="center"/>
              <w:rPr>
                <w:rFonts w:hint="eastAsia" w:ascii="Times New Roman" w:hAnsi="Times New Roman"/>
                <w:b/>
                <w:bCs/>
                <w:color w:val="0F1115"/>
                <w:kern w:val="0"/>
                <w:szCs w:val="21"/>
                <w:lang w:bidi="ar"/>
              </w:rPr>
            </w:pPr>
            <w:r>
              <w:rPr>
                <w:rFonts w:hint="eastAsia" w:ascii="Times New Roman" w:hAnsi="Times New Roman" w:cs="宋体"/>
                <w:b/>
                <w:bCs/>
                <w:szCs w:val="21"/>
              </w:rPr>
              <w:t>日期</w:t>
            </w:r>
          </w:p>
        </w:tc>
        <w:tc>
          <w:tcPr>
            <w:tcW w:w="1043" w:type="pct"/>
            <w:gridSpan w:val="2"/>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14:paraId="424058BA">
            <w:pPr>
              <w:widowControl/>
              <w:jc w:val="center"/>
              <w:rPr>
                <w:rFonts w:ascii="Times New Roman" w:hAnsi="Times New Roman"/>
                <w:b/>
                <w:bCs/>
                <w:color w:val="0F1115"/>
                <w:kern w:val="0"/>
                <w:szCs w:val="21"/>
                <w:lang w:bidi="ar"/>
              </w:rPr>
            </w:pPr>
          </w:p>
        </w:tc>
      </w:tr>
    </w:tbl>
    <w:p w14:paraId="2038D59C">
      <w:pPr>
        <w:spacing w:line="200" w:lineRule="exact"/>
        <w:rPr>
          <w:rFonts w:ascii="Times New Roman" w:hAnsi="Times New Roman"/>
        </w:rPr>
      </w:pPr>
    </w:p>
    <w:p w14:paraId="5046C087">
      <w:pPr>
        <w:rPr>
          <w:rFonts w:hint="eastAsia" w:ascii="Times New Roman" w:hAnsi="Times New Roman"/>
          <w:szCs w:val="21"/>
        </w:rPr>
      </w:pPr>
    </w:p>
    <w:p w14:paraId="42A24256">
      <w:pPr>
        <w:spacing w:line="200" w:lineRule="exact"/>
        <w:rPr>
          <w:rFonts w:ascii="Times New Roman" w:hAnsi="Times New Roman"/>
        </w:rPr>
      </w:pPr>
    </w:p>
    <w:p w14:paraId="15AA1BE9">
      <w:pPr>
        <w:spacing w:line="200" w:lineRule="exact"/>
        <w:rPr>
          <w:rFonts w:ascii="Times New Roman" w:hAnsi="Times New Roman"/>
        </w:rPr>
      </w:pPr>
    </w:p>
    <w:p w14:paraId="6F9361A3">
      <w:pPr>
        <w:spacing w:line="200" w:lineRule="exact"/>
        <w:rPr>
          <w:rFonts w:ascii="Times New Roman" w:hAnsi="Times New Roman"/>
        </w:rPr>
      </w:pPr>
    </w:p>
    <w:p w14:paraId="6CF31FFB">
      <w:pPr>
        <w:rPr>
          <w:color w:val="000000"/>
          <w:szCs w:val="21"/>
        </w:rPr>
      </w:pPr>
      <w:r>
        <w:rPr>
          <w:rFonts w:ascii="Times New Roman" w:hAnsi="Times New Roman"/>
        </w:rPr>
        <w:br w:type="page"/>
      </w:r>
      <w:r>
        <w:rPr>
          <w:rFonts w:ascii="黑体" w:hAnsi="黑体" w:eastAsia="黑体"/>
        </w:rPr>
        <w:t>A.</w:t>
      </w:r>
      <w:r>
        <w:rPr>
          <w:rFonts w:hint="eastAsia" w:ascii="黑体" w:hAnsi="黑体" w:eastAsia="黑体"/>
        </w:rPr>
        <w:t>2</w:t>
      </w:r>
      <w:r>
        <w:rPr>
          <w:rFonts w:ascii="黑体" w:hAnsi="黑体" w:eastAsia="黑体"/>
        </w:rPr>
        <w:t>　现场踏勘汇总表</w:t>
      </w:r>
    </w:p>
    <w:p w14:paraId="5D6F7C54">
      <w:pPr>
        <w:rPr>
          <w:rFonts w:hint="eastAsia" w:ascii="黑体" w:hAnsi="黑体" w:eastAsia="黑体"/>
        </w:rPr>
      </w:pPr>
      <w:r>
        <w:rPr>
          <w:rFonts w:ascii="黑体" w:hAnsi="黑体" w:eastAsia="黑体"/>
        </w:rPr>
        <w:t>A.</w:t>
      </w:r>
      <w:r>
        <w:rPr>
          <w:rFonts w:hint="eastAsia" w:ascii="黑体" w:hAnsi="黑体" w:eastAsia="黑体"/>
        </w:rPr>
        <w:t>2</w:t>
      </w:r>
      <w:r>
        <w:rPr>
          <w:rFonts w:ascii="黑体" w:hAnsi="黑体" w:eastAsia="黑体"/>
        </w:rPr>
        <w:t>.</w:t>
      </w:r>
      <w:r>
        <w:rPr>
          <w:rFonts w:hint="eastAsia" w:ascii="黑体" w:hAnsi="黑体" w:eastAsia="黑体"/>
        </w:rPr>
        <w:t>1</w:t>
      </w:r>
      <w:r>
        <w:rPr>
          <w:rFonts w:ascii="黑体" w:hAnsi="黑体" w:eastAsia="黑体"/>
        </w:rPr>
        <w:t>　</w:t>
      </w:r>
      <w:r>
        <w:rPr>
          <w:rFonts w:hint="eastAsia" w:ascii="黑体" w:hAnsi="黑体" w:eastAsia="黑体"/>
        </w:rPr>
        <w:t>表格填写</w:t>
      </w:r>
    </w:p>
    <w:p w14:paraId="104EA228">
      <w:pPr>
        <w:ind w:firstLine="420" w:firstLineChars="200"/>
        <w:rPr>
          <w:rFonts w:hint="eastAsia" w:ascii="宋体" w:hAnsi="宋体" w:cs="宋体"/>
          <w:color w:val="000000"/>
        </w:rPr>
      </w:pPr>
      <w:r>
        <w:rPr>
          <w:rFonts w:hint="eastAsia" w:ascii="宋体" w:hAnsi="宋体" w:cs="宋体"/>
          <w:color w:val="000000"/>
        </w:rPr>
        <w:t>A.2.1.1 优先填报重点踏勘区域/设施，主要包括</w:t>
      </w:r>
      <w:r>
        <w:rPr>
          <w:rFonts w:hint="eastAsia" w:ascii="Times New Roman" w:hAnsi="Times New Roman" w:eastAsia="宋体" w:cs="Times New Roman"/>
          <w:color w:val="0F1115"/>
          <w:szCs w:val="21"/>
          <w:shd w:val="clear" w:color="auto" w:fill="FFFFFF"/>
          <w:lang w:val="en-US" w:eastAsia="zh-CN"/>
        </w:rPr>
        <w:t>海洋石油生产设施、海洋石油作业设施、登陆管道、施工作业现场</w:t>
      </w:r>
      <w:r>
        <w:rPr>
          <w:rFonts w:hint="eastAsia" w:ascii="Times New Roman" w:hAnsi="Times New Roman" w:eastAsia="宋体" w:cs="Times New Roman"/>
          <w:color w:val="0F1115"/>
          <w:szCs w:val="21"/>
          <w:shd w:val="clear" w:color="auto" w:fill="FFFFFF"/>
          <w:lang w:eastAsia="zh-CN"/>
        </w:rPr>
        <w:t>等</w:t>
      </w:r>
      <w:r>
        <w:rPr>
          <w:rFonts w:hint="eastAsia" w:ascii="宋体" w:hAnsi="宋体" w:cs="宋体"/>
          <w:color w:val="000000"/>
        </w:rPr>
        <w:t>。</w:t>
      </w:r>
    </w:p>
    <w:p w14:paraId="01134DE8">
      <w:pPr>
        <w:ind w:firstLine="420" w:firstLineChars="200"/>
        <w:rPr>
          <w:rFonts w:hint="eastAsia" w:ascii="宋体" w:hAnsi="宋体" w:cs="宋体"/>
          <w:color w:val="000000"/>
        </w:rPr>
      </w:pPr>
      <w:r>
        <w:rPr>
          <w:rFonts w:hint="eastAsia" w:ascii="宋体" w:hAnsi="宋体" w:cs="宋体"/>
          <w:color w:val="000000"/>
        </w:rPr>
        <w:t>A.2.1.2 统计并标注踏勘设施数量。</w:t>
      </w:r>
    </w:p>
    <w:p w14:paraId="7D06F8CC">
      <w:pPr>
        <w:ind w:firstLine="420" w:firstLineChars="200"/>
        <w:rPr>
          <w:rFonts w:hint="eastAsia" w:ascii="宋体" w:hAnsi="宋体" w:cs="宋体"/>
          <w:color w:val="000000"/>
        </w:rPr>
      </w:pPr>
      <w:r>
        <w:rPr>
          <w:rFonts w:hint="eastAsia" w:ascii="宋体" w:hAnsi="宋体" w:cs="宋体"/>
          <w:color w:val="000000"/>
        </w:rPr>
        <w:t>A.2.1.3列明踏勘人员和踏勘日期。</w:t>
      </w:r>
    </w:p>
    <w:p w14:paraId="6D65935B">
      <w:pPr>
        <w:ind w:firstLine="420" w:firstLineChars="200"/>
        <w:rPr>
          <w:rFonts w:hint="eastAsia" w:ascii="宋体" w:hAnsi="宋体" w:cs="宋体"/>
          <w:color w:val="000000"/>
        </w:rPr>
      </w:pPr>
      <w:r>
        <w:rPr>
          <w:rFonts w:hint="eastAsia" w:ascii="宋体" w:hAnsi="宋体" w:cs="宋体"/>
          <w:color w:val="000000"/>
          <w:highlight w:val="none"/>
        </w:rPr>
        <w:t xml:space="preserve">A.2.1.4 </w:t>
      </w:r>
      <w:r>
        <w:rPr>
          <w:rFonts w:hint="eastAsia" w:cs="Times New Roman"/>
          <w:color w:val="0F1115"/>
          <w:szCs w:val="21"/>
          <w:highlight w:val="none"/>
          <w:shd w:val="clear" w:color="auto" w:fill="FFFFFF"/>
          <w:lang w:val="en-US" w:eastAsia="zh-CN"/>
        </w:rPr>
        <w:t>评价对象</w:t>
      </w:r>
      <w:r>
        <w:rPr>
          <w:rFonts w:hint="eastAsia" w:ascii="Times New Roman" w:hAnsi="Times New Roman" w:eastAsia="宋体" w:cs="Times New Roman"/>
          <w:color w:val="0F1115"/>
          <w:szCs w:val="21"/>
          <w:highlight w:val="none"/>
          <w:shd w:val="clear" w:color="auto" w:fill="FFFFFF"/>
          <w:lang w:val="en-US" w:eastAsia="zh-CN"/>
        </w:rPr>
        <w:t>包含的海洋石油生产设施/作业设施</w:t>
      </w:r>
      <w:r>
        <w:rPr>
          <w:rFonts w:hint="eastAsia" w:ascii="Times New Roman" w:hAnsi="Times New Roman" w:eastAsia="宋体" w:cs="Times New Roman"/>
          <w:color w:val="0F1115"/>
          <w:szCs w:val="21"/>
          <w:highlight w:val="none"/>
          <w:shd w:val="clear" w:color="auto" w:fill="FFFFFF"/>
        </w:rPr>
        <w:t>数量为1-3的，应全部踏勘；数量为4-10</w:t>
      </w:r>
      <w:r>
        <w:rPr>
          <w:rFonts w:hint="eastAsia" w:ascii="Times New Roman" w:hAnsi="Times New Roman" w:eastAsia="宋体" w:cs="Times New Roman"/>
          <w:color w:val="0F1115"/>
          <w:szCs w:val="21"/>
          <w:shd w:val="clear" w:color="auto" w:fill="FFFFFF"/>
        </w:rPr>
        <w:t>的，踏勘应不少于总数的60%；数量超过10的，可按一定比例抽查，并给出抽查比例的理由，但不得低于6个。</w:t>
      </w:r>
    </w:p>
    <w:p w14:paraId="32ED7F30">
      <w:pPr>
        <w:rPr>
          <w:rFonts w:hint="eastAsia" w:ascii="黑体" w:hAnsi="黑体" w:eastAsia="黑体"/>
        </w:rPr>
      </w:pPr>
      <w:r>
        <w:rPr>
          <w:rFonts w:ascii="黑体" w:hAnsi="黑体" w:eastAsia="黑体"/>
        </w:rPr>
        <w:t>A.</w:t>
      </w:r>
      <w:r>
        <w:rPr>
          <w:rFonts w:hint="eastAsia" w:ascii="黑体" w:hAnsi="黑体" w:eastAsia="黑体"/>
        </w:rPr>
        <w:t>2</w:t>
      </w:r>
      <w:r>
        <w:rPr>
          <w:rFonts w:ascii="黑体" w:hAnsi="黑体" w:eastAsia="黑体"/>
        </w:rPr>
        <w:t>.</w:t>
      </w:r>
      <w:r>
        <w:rPr>
          <w:rFonts w:hint="eastAsia" w:ascii="黑体" w:hAnsi="黑体" w:eastAsia="黑体"/>
        </w:rPr>
        <w:t>2</w:t>
      </w:r>
      <w:r>
        <w:rPr>
          <w:rFonts w:ascii="黑体" w:hAnsi="黑体" w:eastAsia="黑体"/>
        </w:rPr>
        <w:t>　</w:t>
      </w:r>
      <w:r>
        <w:rPr>
          <w:rFonts w:hint="eastAsia" w:ascii="黑体" w:hAnsi="黑体" w:eastAsia="黑体"/>
        </w:rPr>
        <w:t>表格格式</w:t>
      </w:r>
    </w:p>
    <w:p w14:paraId="5B081C34">
      <w:pPr>
        <w:ind w:firstLine="420" w:firstLineChars="200"/>
        <w:rPr>
          <w:rFonts w:ascii="宋体" w:hAnsi="宋体" w:cs="宋体"/>
          <w:color w:val="000000"/>
        </w:rPr>
      </w:pPr>
      <w:r>
        <w:rPr>
          <w:rFonts w:hint="eastAsia" w:ascii="宋体" w:hAnsi="宋体" w:cs="宋体"/>
          <w:color w:val="000000"/>
        </w:rPr>
        <w:t>按照表A.2的格式编制现场踏勘汇总表。</w:t>
      </w:r>
    </w:p>
    <w:p w14:paraId="1EA34924">
      <w:pPr>
        <w:jc w:val="center"/>
        <w:rPr>
          <w:rFonts w:hint="eastAsia" w:ascii="黑体" w:hAnsi="黑体" w:eastAsia="黑体"/>
        </w:rPr>
      </w:pPr>
      <w:r>
        <w:rPr>
          <w:rFonts w:ascii="黑体" w:hAnsi="黑体" w:eastAsia="黑体"/>
        </w:rPr>
        <w:t>表</w:t>
      </w:r>
      <w:r>
        <w:rPr>
          <w:rFonts w:hint="eastAsia" w:ascii="黑体" w:hAnsi="黑体" w:eastAsia="黑体"/>
        </w:rPr>
        <w:t>A.2</w:t>
      </w:r>
      <w:r>
        <w:rPr>
          <w:rFonts w:ascii="黑体" w:hAnsi="黑体" w:eastAsia="黑体"/>
        </w:rPr>
        <w:t xml:space="preserve">  </w:t>
      </w:r>
      <w:r>
        <w:rPr>
          <w:rFonts w:hint="eastAsia" w:ascii="黑体" w:hAnsi="黑体" w:eastAsia="黑体"/>
        </w:rPr>
        <w:t>现场踏勘汇总表</w:t>
      </w:r>
    </w:p>
    <w:tbl>
      <w:tblPr>
        <w:tblStyle w:val="36"/>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15" w:type="dxa"/>
          <w:left w:w="15" w:type="dxa"/>
          <w:bottom w:w="15" w:type="dxa"/>
          <w:right w:w="15" w:type="dxa"/>
        </w:tblCellMar>
      </w:tblPr>
      <w:tblGrid>
        <w:gridCol w:w="888"/>
        <w:gridCol w:w="1692"/>
        <w:gridCol w:w="278"/>
        <w:gridCol w:w="1606"/>
        <w:gridCol w:w="2967"/>
        <w:gridCol w:w="1903"/>
      </w:tblGrid>
      <w:tr w14:paraId="1B589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40" w:hRule="atLeast"/>
        </w:trPr>
        <w:tc>
          <w:tcPr>
            <w:tcW w:w="1531" w:type="pct"/>
            <w:gridSpan w:val="3"/>
            <w:shd w:val="clear" w:color="auto" w:fill="FFFFFF"/>
            <w:noWrap w:val="0"/>
            <w:tcMar>
              <w:top w:w="60" w:type="dxa"/>
              <w:left w:w="80" w:type="dxa"/>
              <w:bottom w:w="60" w:type="dxa"/>
              <w:right w:w="80" w:type="dxa"/>
            </w:tcMar>
            <w:vAlign w:val="center"/>
          </w:tcPr>
          <w:p w14:paraId="2BF25AFD">
            <w:pPr>
              <w:jc w:val="center"/>
              <w:textAlignment w:val="center"/>
              <w:rPr>
                <w:rFonts w:hint="eastAsia" w:ascii="宋体" w:hAnsi="宋体" w:cs="宋体"/>
                <w:bCs/>
                <w:color w:val="000000"/>
                <w:sz w:val="20"/>
                <w:szCs w:val="20"/>
              </w:rPr>
            </w:pPr>
            <w:r>
              <w:rPr>
                <w:rFonts w:hint="eastAsia" w:ascii="宋体" w:hAnsi="宋体" w:cs="宋体"/>
                <w:bCs/>
                <w:color w:val="000000"/>
                <w:sz w:val="20"/>
                <w:szCs w:val="20"/>
              </w:rPr>
              <w:t>评价项目名称</w:t>
            </w:r>
          </w:p>
        </w:tc>
        <w:tc>
          <w:tcPr>
            <w:tcW w:w="3468" w:type="pct"/>
            <w:gridSpan w:val="3"/>
            <w:shd w:val="clear" w:color="auto" w:fill="FFFFFF"/>
            <w:noWrap w:val="0"/>
            <w:tcMar>
              <w:top w:w="60" w:type="dxa"/>
              <w:left w:w="80" w:type="dxa"/>
              <w:bottom w:w="60" w:type="dxa"/>
              <w:right w:w="80" w:type="dxa"/>
            </w:tcMar>
            <w:vAlign w:val="center"/>
          </w:tcPr>
          <w:p w14:paraId="60398E55">
            <w:pPr>
              <w:textAlignment w:val="center"/>
              <w:rPr>
                <w:rFonts w:hint="eastAsia" w:ascii="宋体" w:hAnsi="宋体" w:cs="宋体"/>
                <w:color w:val="000000"/>
                <w:sz w:val="20"/>
                <w:szCs w:val="20"/>
              </w:rPr>
            </w:pPr>
          </w:p>
        </w:tc>
      </w:tr>
      <w:tr w14:paraId="32AC5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40" w:hRule="atLeast"/>
        </w:trPr>
        <w:tc>
          <w:tcPr>
            <w:tcW w:w="1531" w:type="pct"/>
            <w:gridSpan w:val="3"/>
            <w:shd w:val="clear" w:color="auto" w:fill="FFFFFF"/>
            <w:noWrap w:val="0"/>
            <w:tcMar>
              <w:top w:w="60" w:type="dxa"/>
              <w:left w:w="80" w:type="dxa"/>
              <w:bottom w:w="60" w:type="dxa"/>
              <w:right w:w="80" w:type="dxa"/>
            </w:tcMar>
            <w:vAlign w:val="center"/>
          </w:tcPr>
          <w:p w14:paraId="4394EA9B">
            <w:pPr>
              <w:jc w:val="center"/>
              <w:textAlignment w:val="center"/>
              <w:rPr>
                <w:rFonts w:hint="eastAsia" w:ascii="宋体" w:hAnsi="宋体" w:cs="宋体"/>
                <w:bCs/>
                <w:color w:val="000000"/>
                <w:sz w:val="20"/>
                <w:szCs w:val="20"/>
              </w:rPr>
            </w:pPr>
            <w:r>
              <w:rPr>
                <w:rFonts w:hint="eastAsia" w:ascii="宋体" w:hAnsi="宋体" w:cs="宋体"/>
                <w:bCs/>
                <w:color w:val="000000"/>
                <w:sz w:val="20"/>
                <w:szCs w:val="20"/>
              </w:rPr>
              <w:t>被评价企业名称</w:t>
            </w:r>
          </w:p>
        </w:tc>
        <w:tc>
          <w:tcPr>
            <w:tcW w:w="3468" w:type="pct"/>
            <w:gridSpan w:val="3"/>
            <w:shd w:val="clear" w:color="auto" w:fill="FFFFFF"/>
            <w:noWrap w:val="0"/>
            <w:tcMar>
              <w:top w:w="60" w:type="dxa"/>
              <w:left w:w="80" w:type="dxa"/>
              <w:bottom w:w="60" w:type="dxa"/>
              <w:right w:w="80" w:type="dxa"/>
            </w:tcMar>
            <w:vAlign w:val="center"/>
          </w:tcPr>
          <w:p w14:paraId="14B0CDCB">
            <w:pPr>
              <w:textAlignment w:val="center"/>
              <w:rPr>
                <w:rFonts w:hint="eastAsia" w:ascii="宋体" w:hAnsi="宋体" w:cs="宋体"/>
                <w:color w:val="000000"/>
                <w:sz w:val="20"/>
                <w:szCs w:val="20"/>
              </w:rPr>
            </w:pPr>
          </w:p>
        </w:tc>
      </w:tr>
      <w:tr w14:paraId="0EBAA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40" w:hRule="atLeast"/>
        </w:trPr>
        <w:tc>
          <w:tcPr>
            <w:tcW w:w="476" w:type="pct"/>
            <w:shd w:val="clear" w:color="auto" w:fill="FFFFFF"/>
            <w:noWrap w:val="0"/>
            <w:tcMar>
              <w:top w:w="60" w:type="dxa"/>
              <w:left w:w="80" w:type="dxa"/>
              <w:bottom w:w="60" w:type="dxa"/>
              <w:right w:w="80" w:type="dxa"/>
            </w:tcMar>
            <w:vAlign w:val="center"/>
          </w:tcPr>
          <w:p w14:paraId="2B4CEB77">
            <w:pPr>
              <w:jc w:val="center"/>
              <w:textAlignment w:val="center"/>
              <w:rPr>
                <w:rFonts w:hint="eastAsia" w:ascii="宋体" w:hAnsi="宋体" w:cs="宋体"/>
                <w:bCs/>
                <w:color w:val="000000"/>
                <w:sz w:val="20"/>
                <w:szCs w:val="20"/>
              </w:rPr>
            </w:pPr>
            <w:r>
              <w:rPr>
                <w:rFonts w:hint="eastAsia" w:ascii="宋体" w:hAnsi="宋体" w:cs="宋体"/>
                <w:bCs/>
                <w:color w:val="000000"/>
                <w:sz w:val="20"/>
                <w:szCs w:val="20"/>
              </w:rPr>
              <w:t>序号</w:t>
            </w:r>
          </w:p>
        </w:tc>
        <w:tc>
          <w:tcPr>
            <w:tcW w:w="1054" w:type="pct"/>
            <w:gridSpan w:val="2"/>
            <w:shd w:val="clear" w:color="auto" w:fill="FFFFFF"/>
            <w:noWrap w:val="0"/>
            <w:tcMar>
              <w:top w:w="60" w:type="dxa"/>
              <w:left w:w="80" w:type="dxa"/>
              <w:bottom w:w="60" w:type="dxa"/>
              <w:right w:w="80" w:type="dxa"/>
            </w:tcMar>
            <w:vAlign w:val="center"/>
          </w:tcPr>
          <w:p w14:paraId="2C9B505F">
            <w:pPr>
              <w:jc w:val="center"/>
              <w:textAlignment w:val="center"/>
              <w:rPr>
                <w:rFonts w:hint="eastAsia" w:ascii="宋体" w:hAnsi="宋体" w:cs="宋体"/>
                <w:bCs/>
                <w:color w:val="000000"/>
                <w:sz w:val="20"/>
                <w:szCs w:val="20"/>
              </w:rPr>
            </w:pPr>
            <w:r>
              <w:rPr>
                <w:rFonts w:hint="eastAsia" w:ascii="宋体" w:hAnsi="宋体" w:cs="宋体"/>
                <w:bCs/>
                <w:color w:val="000000"/>
                <w:sz w:val="20"/>
                <w:szCs w:val="20"/>
              </w:rPr>
              <w:t>踏勘地点</w:t>
            </w:r>
          </w:p>
        </w:tc>
        <w:tc>
          <w:tcPr>
            <w:tcW w:w="860" w:type="pct"/>
            <w:shd w:val="clear" w:color="auto" w:fill="FFFFFF"/>
            <w:noWrap w:val="0"/>
            <w:vAlign w:val="center"/>
          </w:tcPr>
          <w:p w14:paraId="0C1E62F0">
            <w:pPr>
              <w:jc w:val="center"/>
              <w:textAlignment w:val="center"/>
              <w:rPr>
                <w:rFonts w:hint="eastAsia" w:ascii="宋体" w:hAnsi="宋体" w:cs="宋体"/>
                <w:bCs/>
                <w:color w:val="000000"/>
                <w:sz w:val="20"/>
                <w:szCs w:val="20"/>
              </w:rPr>
            </w:pPr>
            <w:r>
              <w:rPr>
                <w:rFonts w:hint="eastAsia" w:ascii="宋体" w:hAnsi="宋体" w:cs="宋体"/>
                <w:bCs/>
                <w:color w:val="000000"/>
                <w:sz w:val="20"/>
                <w:szCs w:val="20"/>
              </w:rPr>
              <w:t>主要设备设施</w:t>
            </w:r>
          </w:p>
        </w:tc>
        <w:tc>
          <w:tcPr>
            <w:tcW w:w="1589" w:type="pct"/>
            <w:shd w:val="clear" w:color="auto" w:fill="FFFFFF"/>
            <w:noWrap w:val="0"/>
            <w:tcMar>
              <w:top w:w="60" w:type="dxa"/>
              <w:left w:w="80" w:type="dxa"/>
              <w:bottom w:w="60" w:type="dxa"/>
              <w:right w:w="80" w:type="dxa"/>
            </w:tcMar>
            <w:vAlign w:val="center"/>
          </w:tcPr>
          <w:p w14:paraId="78F8A3FF">
            <w:pPr>
              <w:jc w:val="center"/>
              <w:textAlignment w:val="center"/>
              <w:rPr>
                <w:rFonts w:hint="eastAsia" w:ascii="宋体" w:hAnsi="宋体" w:cs="宋体"/>
                <w:bCs/>
                <w:color w:val="000000"/>
                <w:sz w:val="20"/>
                <w:szCs w:val="20"/>
                <w:highlight w:val="yellow"/>
              </w:rPr>
            </w:pPr>
            <w:r>
              <w:rPr>
                <w:rFonts w:hint="eastAsia" w:ascii="宋体" w:hAnsi="宋体" w:cs="宋体"/>
                <w:bCs/>
                <w:color w:val="000000"/>
                <w:sz w:val="20"/>
                <w:szCs w:val="20"/>
              </w:rPr>
              <w:t>检查内容</w:t>
            </w:r>
          </w:p>
        </w:tc>
        <w:tc>
          <w:tcPr>
            <w:tcW w:w="1019" w:type="pct"/>
            <w:shd w:val="clear" w:color="auto" w:fill="FFFFFF"/>
            <w:noWrap w:val="0"/>
            <w:tcMar>
              <w:top w:w="60" w:type="dxa"/>
              <w:left w:w="80" w:type="dxa"/>
              <w:bottom w:w="60" w:type="dxa"/>
              <w:right w:w="80" w:type="dxa"/>
            </w:tcMar>
            <w:vAlign w:val="center"/>
          </w:tcPr>
          <w:p w14:paraId="6C29397F">
            <w:pPr>
              <w:jc w:val="center"/>
              <w:textAlignment w:val="center"/>
              <w:rPr>
                <w:rFonts w:hint="eastAsia" w:ascii="宋体" w:hAnsi="宋体" w:cs="宋体"/>
                <w:bCs/>
                <w:color w:val="000000"/>
                <w:sz w:val="20"/>
                <w:szCs w:val="20"/>
                <w:highlight w:val="yellow"/>
              </w:rPr>
            </w:pPr>
            <w:r>
              <w:rPr>
                <w:rFonts w:hint="eastAsia" w:ascii="宋体" w:hAnsi="宋体" w:cs="宋体"/>
                <w:bCs/>
                <w:color w:val="000000"/>
                <w:sz w:val="20"/>
                <w:szCs w:val="20"/>
              </w:rPr>
              <w:t>踏勘人员和日期</w:t>
            </w:r>
          </w:p>
        </w:tc>
      </w:tr>
      <w:tr w14:paraId="57C15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40" w:hRule="atLeast"/>
        </w:trPr>
        <w:tc>
          <w:tcPr>
            <w:tcW w:w="476" w:type="pct"/>
            <w:shd w:val="clear" w:color="auto" w:fill="FFFFFF"/>
            <w:noWrap w:val="0"/>
            <w:tcMar>
              <w:top w:w="60" w:type="dxa"/>
              <w:left w:w="80" w:type="dxa"/>
              <w:bottom w:w="60" w:type="dxa"/>
              <w:right w:w="80" w:type="dxa"/>
            </w:tcMar>
            <w:vAlign w:val="center"/>
          </w:tcPr>
          <w:p w14:paraId="79F2A3F3">
            <w:pPr>
              <w:spacing w:line="10" w:lineRule="atLeast"/>
              <w:jc w:val="center"/>
              <w:textAlignment w:val="center"/>
              <w:rPr>
                <w:rFonts w:hint="eastAsia" w:ascii="宋体" w:hAnsi="宋体" w:cs="宋体"/>
                <w:color w:val="000000"/>
                <w:sz w:val="20"/>
                <w:szCs w:val="20"/>
              </w:rPr>
            </w:pPr>
            <w:r>
              <w:rPr>
                <w:rFonts w:hint="eastAsia" w:ascii="宋体" w:hAnsi="宋体" w:eastAsia="宋体" w:cs="宋体"/>
                <w:color w:val="000000"/>
                <w:sz w:val="20"/>
                <w:szCs w:val="20"/>
              </w:rPr>
              <w:t>1</w:t>
            </w:r>
          </w:p>
        </w:tc>
        <w:tc>
          <w:tcPr>
            <w:tcW w:w="1054" w:type="pct"/>
            <w:gridSpan w:val="2"/>
            <w:shd w:val="clear" w:color="auto" w:fill="FFFFFF"/>
            <w:noWrap w:val="0"/>
            <w:tcMar>
              <w:top w:w="60" w:type="dxa"/>
              <w:left w:w="80" w:type="dxa"/>
              <w:bottom w:w="60" w:type="dxa"/>
              <w:right w:w="80" w:type="dxa"/>
            </w:tcMar>
            <w:vAlign w:val="center"/>
          </w:tcPr>
          <w:p w14:paraId="03E21F2E">
            <w:pPr>
              <w:spacing w:line="10" w:lineRule="atLeast"/>
              <w:jc w:val="center"/>
              <w:textAlignment w:val="center"/>
              <w:rPr>
                <w:rFonts w:hint="eastAsia" w:ascii="宋体" w:hAnsi="宋体" w:cs="宋体"/>
                <w:color w:val="000000"/>
                <w:sz w:val="20"/>
                <w:szCs w:val="20"/>
                <w:highlight w:val="yellow"/>
              </w:rPr>
            </w:pPr>
            <w:r>
              <w:rPr>
                <w:rFonts w:hint="eastAsia" w:ascii="宋体" w:hAnsi="宋体" w:eastAsia="宋体" w:cs="宋体"/>
                <w:color w:val="000000"/>
                <w:sz w:val="20"/>
                <w:szCs w:val="20"/>
                <w:lang w:val="en-US" w:eastAsia="zh-CN"/>
              </w:rPr>
              <w:t>海洋石油生产设施</w:t>
            </w:r>
          </w:p>
        </w:tc>
        <w:tc>
          <w:tcPr>
            <w:tcW w:w="860" w:type="pct"/>
            <w:shd w:val="clear" w:color="auto" w:fill="FFFFFF"/>
            <w:noWrap w:val="0"/>
            <w:vAlign w:val="center"/>
          </w:tcPr>
          <w:p w14:paraId="353F3C6B">
            <w:pPr>
              <w:rPr>
                <w:rFonts w:hint="eastAsia" w:ascii="宋体" w:hAnsi="宋体" w:cs="宋体"/>
                <w:color w:val="000000"/>
                <w:sz w:val="20"/>
                <w:szCs w:val="20"/>
              </w:rPr>
            </w:pPr>
          </w:p>
        </w:tc>
        <w:tc>
          <w:tcPr>
            <w:tcW w:w="1589" w:type="pct"/>
            <w:shd w:val="clear" w:color="auto" w:fill="FFFFFF"/>
            <w:noWrap w:val="0"/>
            <w:tcMar>
              <w:top w:w="60" w:type="dxa"/>
              <w:left w:w="80" w:type="dxa"/>
              <w:bottom w:w="60" w:type="dxa"/>
              <w:right w:w="80" w:type="dxa"/>
            </w:tcMar>
            <w:vAlign w:val="center"/>
          </w:tcPr>
          <w:p w14:paraId="278CA9D9">
            <w:pPr>
              <w:jc w:val="center"/>
              <w:textAlignment w:val="center"/>
              <w:rPr>
                <w:rFonts w:hint="eastAsia" w:ascii="宋体" w:hAnsi="宋体" w:cs="宋体"/>
                <w:color w:val="000000"/>
                <w:sz w:val="20"/>
                <w:szCs w:val="20"/>
              </w:rPr>
            </w:pPr>
          </w:p>
        </w:tc>
        <w:tc>
          <w:tcPr>
            <w:tcW w:w="1019" w:type="pct"/>
            <w:shd w:val="clear" w:color="auto" w:fill="FFFFFF"/>
            <w:noWrap w:val="0"/>
            <w:tcMar>
              <w:top w:w="60" w:type="dxa"/>
              <w:left w:w="80" w:type="dxa"/>
              <w:bottom w:w="60" w:type="dxa"/>
              <w:right w:w="80" w:type="dxa"/>
            </w:tcMar>
            <w:vAlign w:val="center"/>
          </w:tcPr>
          <w:p w14:paraId="2DF8547D">
            <w:pPr>
              <w:jc w:val="center"/>
              <w:textAlignment w:val="center"/>
              <w:rPr>
                <w:rFonts w:hint="eastAsia" w:ascii="宋体" w:hAnsi="宋体" w:cs="宋体"/>
                <w:color w:val="000000"/>
                <w:sz w:val="20"/>
                <w:szCs w:val="20"/>
              </w:rPr>
            </w:pPr>
          </w:p>
        </w:tc>
      </w:tr>
      <w:tr w14:paraId="67115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40" w:hRule="atLeast"/>
        </w:trPr>
        <w:tc>
          <w:tcPr>
            <w:tcW w:w="476" w:type="pct"/>
            <w:shd w:val="clear" w:color="auto" w:fill="FFFFFF"/>
            <w:noWrap w:val="0"/>
            <w:tcMar>
              <w:top w:w="60" w:type="dxa"/>
              <w:left w:w="80" w:type="dxa"/>
              <w:bottom w:w="60" w:type="dxa"/>
              <w:right w:w="80" w:type="dxa"/>
            </w:tcMar>
            <w:vAlign w:val="center"/>
          </w:tcPr>
          <w:p w14:paraId="582DA4AB">
            <w:pPr>
              <w:spacing w:line="10" w:lineRule="atLeast"/>
              <w:jc w:val="center"/>
              <w:textAlignment w:val="center"/>
              <w:rPr>
                <w:rFonts w:hint="eastAsia" w:ascii="宋体" w:hAnsi="宋体" w:cs="宋体"/>
                <w:color w:val="000000"/>
                <w:sz w:val="20"/>
                <w:szCs w:val="20"/>
              </w:rPr>
            </w:pPr>
            <w:r>
              <w:rPr>
                <w:rFonts w:hint="eastAsia" w:ascii="宋体" w:hAnsi="宋体" w:eastAsia="宋体" w:cs="宋体"/>
                <w:color w:val="000000"/>
                <w:sz w:val="20"/>
                <w:szCs w:val="20"/>
              </w:rPr>
              <w:t>2</w:t>
            </w:r>
          </w:p>
        </w:tc>
        <w:tc>
          <w:tcPr>
            <w:tcW w:w="1054" w:type="pct"/>
            <w:gridSpan w:val="2"/>
            <w:shd w:val="clear" w:color="auto" w:fill="FFFFFF"/>
            <w:noWrap w:val="0"/>
            <w:tcMar>
              <w:top w:w="60" w:type="dxa"/>
              <w:left w:w="80" w:type="dxa"/>
              <w:bottom w:w="60" w:type="dxa"/>
              <w:right w:w="80" w:type="dxa"/>
            </w:tcMar>
            <w:vAlign w:val="center"/>
          </w:tcPr>
          <w:p w14:paraId="07DBF9E6">
            <w:pPr>
              <w:jc w:val="center"/>
              <w:rPr>
                <w:rFonts w:hint="eastAsia" w:ascii="宋体" w:hAnsi="宋体" w:cs="宋体"/>
                <w:color w:val="000000"/>
                <w:sz w:val="20"/>
                <w:szCs w:val="20"/>
                <w:highlight w:val="yellow"/>
              </w:rPr>
            </w:pPr>
            <w:r>
              <w:rPr>
                <w:rFonts w:hint="eastAsia" w:ascii="宋体" w:hAnsi="宋体" w:eastAsia="宋体" w:cs="宋体"/>
                <w:color w:val="000000"/>
                <w:sz w:val="20"/>
                <w:szCs w:val="20"/>
                <w:lang w:val="en-US" w:eastAsia="zh-CN"/>
              </w:rPr>
              <w:t>海洋石油作业设施</w:t>
            </w:r>
          </w:p>
        </w:tc>
        <w:tc>
          <w:tcPr>
            <w:tcW w:w="860" w:type="pct"/>
            <w:shd w:val="clear" w:color="auto" w:fill="FFFFFF"/>
            <w:noWrap w:val="0"/>
            <w:vAlign w:val="center"/>
          </w:tcPr>
          <w:p w14:paraId="26734C43">
            <w:pPr>
              <w:rPr>
                <w:rFonts w:hint="eastAsia" w:ascii="宋体" w:hAnsi="宋体" w:cs="宋体"/>
                <w:color w:val="000000"/>
                <w:sz w:val="20"/>
                <w:szCs w:val="20"/>
              </w:rPr>
            </w:pPr>
          </w:p>
        </w:tc>
        <w:tc>
          <w:tcPr>
            <w:tcW w:w="1589" w:type="pct"/>
            <w:shd w:val="clear" w:color="auto" w:fill="FFFFFF"/>
            <w:noWrap w:val="0"/>
            <w:tcMar>
              <w:top w:w="60" w:type="dxa"/>
              <w:left w:w="80" w:type="dxa"/>
              <w:bottom w:w="60" w:type="dxa"/>
              <w:right w:w="80" w:type="dxa"/>
            </w:tcMar>
            <w:vAlign w:val="center"/>
          </w:tcPr>
          <w:p w14:paraId="33031A05">
            <w:pPr>
              <w:jc w:val="center"/>
              <w:textAlignment w:val="center"/>
              <w:rPr>
                <w:rFonts w:hint="eastAsia" w:ascii="宋体" w:hAnsi="宋体" w:cs="宋体"/>
                <w:color w:val="000000"/>
                <w:sz w:val="20"/>
                <w:szCs w:val="20"/>
              </w:rPr>
            </w:pPr>
          </w:p>
        </w:tc>
        <w:tc>
          <w:tcPr>
            <w:tcW w:w="1019" w:type="pct"/>
            <w:shd w:val="clear" w:color="auto" w:fill="FFFFFF"/>
            <w:noWrap w:val="0"/>
            <w:tcMar>
              <w:top w:w="60" w:type="dxa"/>
              <w:left w:w="80" w:type="dxa"/>
              <w:bottom w:w="60" w:type="dxa"/>
              <w:right w:w="80" w:type="dxa"/>
            </w:tcMar>
            <w:vAlign w:val="center"/>
          </w:tcPr>
          <w:p w14:paraId="57E92AC7">
            <w:pPr>
              <w:jc w:val="center"/>
              <w:textAlignment w:val="center"/>
              <w:rPr>
                <w:rFonts w:hint="eastAsia" w:ascii="宋体" w:hAnsi="宋体" w:cs="宋体"/>
                <w:color w:val="000000"/>
                <w:sz w:val="20"/>
                <w:szCs w:val="20"/>
              </w:rPr>
            </w:pPr>
          </w:p>
        </w:tc>
      </w:tr>
      <w:tr w14:paraId="27385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40" w:hRule="atLeast"/>
        </w:trPr>
        <w:tc>
          <w:tcPr>
            <w:tcW w:w="476" w:type="pct"/>
            <w:shd w:val="clear" w:color="auto" w:fill="FFFFFF"/>
            <w:noWrap w:val="0"/>
            <w:tcMar>
              <w:top w:w="60" w:type="dxa"/>
              <w:left w:w="80" w:type="dxa"/>
              <w:bottom w:w="60" w:type="dxa"/>
              <w:right w:w="80" w:type="dxa"/>
            </w:tcMar>
            <w:vAlign w:val="center"/>
          </w:tcPr>
          <w:p w14:paraId="68AE06D3">
            <w:pPr>
              <w:spacing w:line="10" w:lineRule="atLeast"/>
              <w:jc w:val="center"/>
              <w:textAlignment w:val="center"/>
              <w:rPr>
                <w:rFonts w:hint="eastAsia" w:ascii="宋体" w:hAnsi="宋体" w:cs="宋体"/>
                <w:color w:val="000000"/>
                <w:sz w:val="20"/>
                <w:szCs w:val="20"/>
              </w:rPr>
            </w:pPr>
            <w:r>
              <w:rPr>
                <w:rFonts w:hint="eastAsia" w:ascii="宋体" w:hAnsi="宋体" w:eastAsia="宋体" w:cs="宋体"/>
                <w:color w:val="000000"/>
                <w:sz w:val="20"/>
                <w:szCs w:val="20"/>
              </w:rPr>
              <w:t>3</w:t>
            </w:r>
          </w:p>
        </w:tc>
        <w:tc>
          <w:tcPr>
            <w:tcW w:w="1054" w:type="pct"/>
            <w:gridSpan w:val="2"/>
            <w:shd w:val="clear" w:color="auto" w:fill="FFFFFF"/>
            <w:noWrap w:val="0"/>
            <w:tcMar>
              <w:top w:w="60" w:type="dxa"/>
              <w:left w:w="80" w:type="dxa"/>
              <w:bottom w:w="60" w:type="dxa"/>
              <w:right w:w="80" w:type="dxa"/>
            </w:tcMar>
            <w:vAlign w:val="center"/>
          </w:tcPr>
          <w:p w14:paraId="74D66F96">
            <w:pPr>
              <w:spacing w:line="10" w:lineRule="atLeast"/>
              <w:jc w:val="center"/>
              <w:textAlignment w:val="center"/>
              <w:rPr>
                <w:rFonts w:hint="eastAsia" w:ascii="宋体" w:hAnsi="宋体" w:cs="宋体"/>
                <w:color w:val="000000"/>
                <w:sz w:val="20"/>
                <w:szCs w:val="20"/>
                <w:highlight w:val="yellow"/>
              </w:rPr>
            </w:pPr>
            <w:r>
              <w:rPr>
                <w:rFonts w:hint="eastAsia" w:ascii="宋体" w:hAnsi="宋体" w:eastAsia="宋体" w:cs="宋体"/>
                <w:color w:val="000000"/>
                <w:sz w:val="20"/>
                <w:szCs w:val="20"/>
                <w:lang w:val="en-US" w:eastAsia="zh-CN"/>
              </w:rPr>
              <w:t>登陆管道</w:t>
            </w:r>
          </w:p>
        </w:tc>
        <w:tc>
          <w:tcPr>
            <w:tcW w:w="860" w:type="pct"/>
            <w:shd w:val="clear" w:color="auto" w:fill="FFFFFF"/>
            <w:noWrap w:val="0"/>
            <w:vAlign w:val="center"/>
          </w:tcPr>
          <w:p w14:paraId="71F83572">
            <w:pPr>
              <w:rPr>
                <w:rFonts w:hint="eastAsia" w:ascii="宋体" w:hAnsi="宋体" w:cs="宋体"/>
                <w:color w:val="000000"/>
                <w:sz w:val="20"/>
                <w:szCs w:val="20"/>
              </w:rPr>
            </w:pPr>
          </w:p>
        </w:tc>
        <w:tc>
          <w:tcPr>
            <w:tcW w:w="1589" w:type="pct"/>
            <w:shd w:val="clear" w:color="auto" w:fill="FFFFFF"/>
            <w:noWrap w:val="0"/>
            <w:tcMar>
              <w:top w:w="60" w:type="dxa"/>
              <w:left w:w="80" w:type="dxa"/>
              <w:bottom w:w="60" w:type="dxa"/>
              <w:right w:w="80" w:type="dxa"/>
            </w:tcMar>
            <w:vAlign w:val="center"/>
          </w:tcPr>
          <w:p w14:paraId="06A8EC53">
            <w:pPr>
              <w:jc w:val="center"/>
              <w:textAlignment w:val="center"/>
              <w:rPr>
                <w:rFonts w:hint="eastAsia" w:ascii="宋体" w:hAnsi="宋体" w:cs="宋体"/>
                <w:color w:val="000000"/>
                <w:sz w:val="20"/>
                <w:szCs w:val="20"/>
              </w:rPr>
            </w:pPr>
          </w:p>
        </w:tc>
        <w:tc>
          <w:tcPr>
            <w:tcW w:w="1019" w:type="pct"/>
            <w:shd w:val="clear" w:color="auto" w:fill="FFFFFF"/>
            <w:noWrap w:val="0"/>
            <w:tcMar>
              <w:top w:w="60" w:type="dxa"/>
              <w:left w:w="80" w:type="dxa"/>
              <w:bottom w:w="60" w:type="dxa"/>
              <w:right w:w="80" w:type="dxa"/>
            </w:tcMar>
            <w:vAlign w:val="center"/>
          </w:tcPr>
          <w:p w14:paraId="2E1F9B60">
            <w:pPr>
              <w:jc w:val="center"/>
              <w:textAlignment w:val="center"/>
              <w:rPr>
                <w:rFonts w:hint="eastAsia" w:ascii="宋体" w:hAnsi="宋体" w:cs="宋体"/>
                <w:color w:val="000000"/>
                <w:sz w:val="20"/>
                <w:szCs w:val="20"/>
              </w:rPr>
            </w:pPr>
          </w:p>
        </w:tc>
      </w:tr>
      <w:tr w14:paraId="6CA45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40" w:hRule="atLeast"/>
        </w:trPr>
        <w:tc>
          <w:tcPr>
            <w:tcW w:w="476" w:type="pct"/>
            <w:shd w:val="clear" w:color="auto" w:fill="FFFFFF"/>
            <w:noWrap w:val="0"/>
            <w:tcMar>
              <w:top w:w="60" w:type="dxa"/>
              <w:left w:w="80" w:type="dxa"/>
              <w:bottom w:w="60" w:type="dxa"/>
              <w:right w:w="80" w:type="dxa"/>
            </w:tcMar>
            <w:vAlign w:val="center"/>
          </w:tcPr>
          <w:p w14:paraId="0A3EE7C8">
            <w:pPr>
              <w:spacing w:line="10" w:lineRule="atLeast"/>
              <w:jc w:val="center"/>
              <w:textAlignment w:val="center"/>
              <w:rPr>
                <w:rFonts w:hint="eastAsia" w:ascii="宋体" w:hAnsi="宋体" w:cs="宋体"/>
                <w:color w:val="000000"/>
                <w:sz w:val="20"/>
                <w:szCs w:val="20"/>
              </w:rPr>
            </w:pPr>
            <w:r>
              <w:rPr>
                <w:rFonts w:hint="eastAsia" w:ascii="宋体" w:hAnsi="宋体" w:eastAsia="宋体" w:cs="宋体"/>
                <w:color w:val="000000"/>
                <w:sz w:val="20"/>
                <w:szCs w:val="20"/>
              </w:rPr>
              <w:t>4</w:t>
            </w:r>
          </w:p>
        </w:tc>
        <w:tc>
          <w:tcPr>
            <w:tcW w:w="1054" w:type="pct"/>
            <w:gridSpan w:val="2"/>
            <w:shd w:val="clear" w:color="auto" w:fill="FFFFFF"/>
            <w:noWrap w:val="0"/>
            <w:tcMar>
              <w:top w:w="60" w:type="dxa"/>
              <w:left w:w="80" w:type="dxa"/>
              <w:bottom w:w="60" w:type="dxa"/>
              <w:right w:w="80" w:type="dxa"/>
            </w:tcMar>
            <w:vAlign w:val="center"/>
          </w:tcPr>
          <w:p w14:paraId="48E643CA">
            <w:pPr>
              <w:spacing w:line="10" w:lineRule="atLeast"/>
              <w:jc w:val="center"/>
              <w:textAlignment w:val="center"/>
              <w:rPr>
                <w:rFonts w:hint="eastAsia" w:ascii="宋体" w:hAnsi="宋体" w:cs="宋体"/>
                <w:color w:val="000000"/>
                <w:sz w:val="20"/>
                <w:szCs w:val="20"/>
              </w:rPr>
            </w:pPr>
            <w:r>
              <w:rPr>
                <w:rFonts w:hint="eastAsia" w:ascii="宋体" w:hAnsi="宋体" w:eastAsia="宋体" w:cs="宋体"/>
                <w:color w:val="000000"/>
                <w:sz w:val="20"/>
                <w:szCs w:val="20"/>
                <w:lang w:val="en-US" w:eastAsia="zh-CN"/>
              </w:rPr>
              <w:t>施工作业现场</w:t>
            </w:r>
          </w:p>
        </w:tc>
        <w:tc>
          <w:tcPr>
            <w:tcW w:w="860" w:type="pct"/>
            <w:shd w:val="clear" w:color="auto" w:fill="FFFFFF"/>
            <w:noWrap w:val="0"/>
            <w:vAlign w:val="center"/>
          </w:tcPr>
          <w:p w14:paraId="2CC0C392">
            <w:pPr>
              <w:rPr>
                <w:rFonts w:hint="eastAsia" w:ascii="宋体" w:hAnsi="宋体" w:cs="宋体"/>
                <w:color w:val="000000"/>
                <w:sz w:val="20"/>
                <w:szCs w:val="20"/>
              </w:rPr>
            </w:pPr>
          </w:p>
        </w:tc>
        <w:tc>
          <w:tcPr>
            <w:tcW w:w="1589" w:type="pct"/>
            <w:shd w:val="clear" w:color="auto" w:fill="FFFFFF"/>
            <w:noWrap w:val="0"/>
            <w:tcMar>
              <w:top w:w="60" w:type="dxa"/>
              <w:left w:w="80" w:type="dxa"/>
              <w:bottom w:w="60" w:type="dxa"/>
              <w:right w:w="80" w:type="dxa"/>
            </w:tcMar>
            <w:vAlign w:val="center"/>
          </w:tcPr>
          <w:p w14:paraId="6D67B893">
            <w:pPr>
              <w:jc w:val="center"/>
              <w:textAlignment w:val="center"/>
              <w:rPr>
                <w:rFonts w:hint="eastAsia" w:ascii="宋体" w:hAnsi="宋体" w:cs="宋体"/>
                <w:color w:val="000000"/>
                <w:sz w:val="20"/>
                <w:szCs w:val="20"/>
              </w:rPr>
            </w:pPr>
          </w:p>
        </w:tc>
        <w:tc>
          <w:tcPr>
            <w:tcW w:w="1019" w:type="pct"/>
            <w:shd w:val="clear" w:color="auto" w:fill="FFFFFF"/>
            <w:noWrap w:val="0"/>
            <w:tcMar>
              <w:top w:w="60" w:type="dxa"/>
              <w:left w:w="80" w:type="dxa"/>
              <w:bottom w:w="60" w:type="dxa"/>
              <w:right w:w="80" w:type="dxa"/>
            </w:tcMar>
            <w:vAlign w:val="center"/>
          </w:tcPr>
          <w:p w14:paraId="18C169A1">
            <w:pPr>
              <w:jc w:val="center"/>
              <w:textAlignment w:val="center"/>
              <w:rPr>
                <w:rFonts w:hint="eastAsia" w:ascii="宋体" w:hAnsi="宋体" w:cs="宋体"/>
                <w:color w:val="000000"/>
                <w:sz w:val="20"/>
                <w:szCs w:val="20"/>
              </w:rPr>
            </w:pPr>
          </w:p>
        </w:tc>
      </w:tr>
      <w:tr w14:paraId="4D80F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40" w:hRule="atLeast"/>
        </w:trPr>
        <w:tc>
          <w:tcPr>
            <w:tcW w:w="476" w:type="pct"/>
            <w:shd w:val="clear" w:color="auto" w:fill="FFFFFF"/>
            <w:noWrap w:val="0"/>
            <w:tcMar>
              <w:top w:w="60" w:type="dxa"/>
              <w:left w:w="80" w:type="dxa"/>
              <w:bottom w:w="60" w:type="dxa"/>
              <w:right w:w="80" w:type="dxa"/>
            </w:tcMar>
            <w:vAlign w:val="center"/>
          </w:tcPr>
          <w:p w14:paraId="5DF34C04">
            <w:pPr>
              <w:jc w:val="center"/>
              <w:textAlignment w:val="center"/>
              <w:rPr>
                <w:rFonts w:hint="eastAsia" w:ascii="宋体" w:hAnsi="宋体" w:eastAsia="宋体" w:cs="宋体"/>
                <w:color w:val="000000"/>
                <w:kern w:val="2"/>
                <w:sz w:val="20"/>
                <w:szCs w:val="20"/>
                <w:lang w:val="en-US" w:eastAsia="zh-CN" w:bidi="ar-SA"/>
              </w:rPr>
            </w:pPr>
            <w:r>
              <w:rPr>
                <w:rFonts w:ascii="宋体" w:hAnsi="宋体" w:cs="宋体"/>
                <w:color w:val="000000"/>
                <w:sz w:val="20"/>
                <w:szCs w:val="20"/>
              </w:rPr>
              <w:t>…</w:t>
            </w:r>
          </w:p>
        </w:tc>
        <w:tc>
          <w:tcPr>
            <w:tcW w:w="1054" w:type="pct"/>
            <w:gridSpan w:val="2"/>
            <w:shd w:val="clear" w:color="auto" w:fill="FFFFFF"/>
            <w:noWrap w:val="0"/>
            <w:tcMar>
              <w:top w:w="60" w:type="dxa"/>
              <w:left w:w="80" w:type="dxa"/>
              <w:bottom w:w="60" w:type="dxa"/>
              <w:right w:w="80" w:type="dxa"/>
            </w:tcMar>
            <w:vAlign w:val="center"/>
          </w:tcPr>
          <w:p w14:paraId="03BC87C8">
            <w:pPr>
              <w:jc w:val="center"/>
              <w:textAlignment w:val="center"/>
              <w:rPr>
                <w:rFonts w:hint="eastAsia" w:ascii="宋体" w:hAnsi="宋体" w:eastAsia="宋体" w:cs="宋体"/>
                <w:color w:val="000000"/>
                <w:kern w:val="2"/>
                <w:sz w:val="20"/>
                <w:szCs w:val="20"/>
                <w:lang w:val="en-US" w:eastAsia="zh-CN" w:bidi="ar-SA"/>
              </w:rPr>
            </w:pPr>
            <w:r>
              <w:rPr>
                <w:rFonts w:ascii="宋体" w:hAnsi="宋体" w:cs="宋体"/>
                <w:color w:val="000000"/>
                <w:sz w:val="20"/>
                <w:szCs w:val="20"/>
              </w:rPr>
              <w:t>…</w:t>
            </w:r>
          </w:p>
        </w:tc>
        <w:tc>
          <w:tcPr>
            <w:tcW w:w="860" w:type="pct"/>
            <w:shd w:val="clear" w:color="auto" w:fill="FFFFFF"/>
            <w:noWrap w:val="0"/>
            <w:vAlign w:val="center"/>
          </w:tcPr>
          <w:p w14:paraId="398B7451">
            <w:pPr>
              <w:rPr>
                <w:rFonts w:hint="eastAsia" w:ascii="宋体" w:hAnsi="宋体" w:cs="宋体"/>
                <w:color w:val="000000"/>
                <w:sz w:val="20"/>
                <w:szCs w:val="20"/>
              </w:rPr>
            </w:pPr>
          </w:p>
        </w:tc>
        <w:tc>
          <w:tcPr>
            <w:tcW w:w="1589" w:type="pct"/>
            <w:shd w:val="clear" w:color="auto" w:fill="FFFFFF"/>
            <w:noWrap w:val="0"/>
            <w:tcMar>
              <w:top w:w="60" w:type="dxa"/>
              <w:left w:w="80" w:type="dxa"/>
              <w:bottom w:w="60" w:type="dxa"/>
              <w:right w:w="80" w:type="dxa"/>
            </w:tcMar>
            <w:vAlign w:val="center"/>
          </w:tcPr>
          <w:p w14:paraId="084EFF66">
            <w:pPr>
              <w:jc w:val="center"/>
              <w:textAlignment w:val="center"/>
              <w:rPr>
                <w:rFonts w:hint="eastAsia" w:ascii="宋体" w:hAnsi="宋体" w:cs="宋体"/>
                <w:color w:val="000000"/>
                <w:sz w:val="20"/>
                <w:szCs w:val="20"/>
              </w:rPr>
            </w:pPr>
          </w:p>
        </w:tc>
        <w:tc>
          <w:tcPr>
            <w:tcW w:w="1019" w:type="pct"/>
            <w:shd w:val="clear" w:color="auto" w:fill="FFFFFF"/>
            <w:noWrap w:val="0"/>
            <w:tcMar>
              <w:top w:w="60" w:type="dxa"/>
              <w:left w:w="80" w:type="dxa"/>
              <w:bottom w:w="60" w:type="dxa"/>
              <w:right w:w="80" w:type="dxa"/>
            </w:tcMar>
            <w:vAlign w:val="center"/>
          </w:tcPr>
          <w:p w14:paraId="18364930">
            <w:pPr>
              <w:jc w:val="center"/>
              <w:textAlignment w:val="center"/>
              <w:rPr>
                <w:rFonts w:hint="eastAsia" w:ascii="宋体" w:hAnsi="宋体" w:cs="宋体"/>
                <w:color w:val="000000"/>
                <w:sz w:val="20"/>
                <w:szCs w:val="20"/>
              </w:rPr>
            </w:pPr>
          </w:p>
        </w:tc>
      </w:tr>
      <w:tr w14:paraId="000E7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40" w:hRule="atLeast"/>
        </w:trPr>
        <w:tc>
          <w:tcPr>
            <w:tcW w:w="2391" w:type="pct"/>
            <w:gridSpan w:val="4"/>
            <w:shd w:val="clear" w:color="auto" w:fill="FFFFFF"/>
            <w:noWrap w:val="0"/>
            <w:vAlign w:val="center"/>
          </w:tcPr>
          <w:p w14:paraId="0E13B68C">
            <w:pPr>
              <w:jc w:val="center"/>
              <w:rPr>
                <w:rFonts w:hint="eastAsia" w:ascii="宋体" w:hAnsi="宋体" w:cs="宋体"/>
                <w:bCs/>
                <w:color w:val="000000"/>
                <w:sz w:val="20"/>
                <w:szCs w:val="20"/>
              </w:rPr>
            </w:pPr>
            <w:r>
              <w:rPr>
                <w:rFonts w:hint="eastAsia" w:ascii="宋体" w:hAnsi="宋体" w:cs="宋体"/>
                <w:bCs/>
                <w:color w:val="000000"/>
                <w:sz w:val="20"/>
                <w:szCs w:val="20"/>
              </w:rPr>
              <w:t xml:space="preserve">合 </w:t>
            </w:r>
            <w:r>
              <w:rPr>
                <w:rFonts w:ascii="宋体" w:hAnsi="宋体" w:cs="宋体"/>
                <w:bCs/>
                <w:color w:val="000000"/>
                <w:sz w:val="20"/>
                <w:szCs w:val="20"/>
              </w:rPr>
              <w:t xml:space="preserve"> </w:t>
            </w:r>
            <w:r>
              <w:rPr>
                <w:rFonts w:hint="eastAsia" w:ascii="宋体" w:hAnsi="宋体" w:cs="宋体"/>
                <w:bCs/>
                <w:color w:val="000000"/>
                <w:sz w:val="20"/>
                <w:szCs w:val="20"/>
              </w:rPr>
              <w:t>计</w:t>
            </w:r>
          </w:p>
        </w:tc>
        <w:tc>
          <w:tcPr>
            <w:tcW w:w="1589" w:type="pct"/>
            <w:shd w:val="clear" w:color="auto" w:fill="FFFFFF"/>
            <w:noWrap w:val="0"/>
            <w:vAlign w:val="center"/>
          </w:tcPr>
          <w:p w14:paraId="05649F2B">
            <w:pPr>
              <w:jc w:val="center"/>
              <w:textAlignment w:val="center"/>
              <w:rPr>
                <w:rFonts w:hint="eastAsia" w:ascii="宋体" w:hAnsi="宋体" w:cs="宋体"/>
                <w:bCs/>
                <w:color w:val="000000"/>
                <w:sz w:val="20"/>
                <w:szCs w:val="20"/>
              </w:rPr>
            </w:pPr>
          </w:p>
        </w:tc>
        <w:tc>
          <w:tcPr>
            <w:tcW w:w="1019" w:type="pct"/>
            <w:shd w:val="clear" w:color="auto" w:fill="FFFFFF"/>
            <w:noWrap w:val="0"/>
            <w:tcMar>
              <w:top w:w="60" w:type="dxa"/>
              <w:left w:w="80" w:type="dxa"/>
              <w:bottom w:w="60" w:type="dxa"/>
              <w:right w:w="80" w:type="dxa"/>
            </w:tcMar>
            <w:vAlign w:val="center"/>
          </w:tcPr>
          <w:p w14:paraId="7B90973C">
            <w:pPr>
              <w:jc w:val="center"/>
              <w:textAlignment w:val="center"/>
              <w:rPr>
                <w:rFonts w:hint="eastAsia" w:ascii="宋体" w:hAnsi="宋体" w:cs="宋体"/>
                <w:bCs/>
                <w:color w:val="000000"/>
                <w:sz w:val="20"/>
                <w:szCs w:val="20"/>
              </w:rPr>
            </w:pPr>
          </w:p>
        </w:tc>
      </w:tr>
      <w:tr w14:paraId="52F6B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40" w:hRule="atLeast"/>
        </w:trPr>
        <w:tc>
          <w:tcPr>
            <w:tcW w:w="1382" w:type="pct"/>
            <w:gridSpan w:val="2"/>
            <w:shd w:val="clear" w:color="auto" w:fill="FFFFFF"/>
            <w:noWrap w:val="0"/>
            <w:vAlign w:val="center"/>
          </w:tcPr>
          <w:p w14:paraId="231B9CC4">
            <w:pPr>
              <w:jc w:val="right"/>
              <w:rPr>
                <w:rFonts w:hint="eastAsia" w:ascii="宋体" w:hAnsi="宋体" w:cs="宋体"/>
                <w:bCs/>
                <w:color w:val="000000"/>
                <w:sz w:val="20"/>
                <w:szCs w:val="20"/>
              </w:rPr>
            </w:pPr>
            <w:r>
              <w:rPr>
                <w:rFonts w:hint="eastAsia" w:ascii="宋体" w:hAnsi="宋体" w:cs="宋体"/>
                <w:b/>
                <w:bCs/>
                <w:szCs w:val="21"/>
              </w:rPr>
              <w:t>评价项目负责人签字</w:t>
            </w:r>
          </w:p>
        </w:tc>
        <w:tc>
          <w:tcPr>
            <w:tcW w:w="1008" w:type="pct"/>
            <w:gridSpan w:val="2"/>
            <w:shd w:val="clear" w:color="auto" w:fill="FFFFFF"/>
            <w:noWrap w:val="0"/>
            <w:vAlign w:val="center"/>
          </w:tcPr>
          <w:p w14:paraId="7114E67F">
            <w:pPr>
              <w:jc w:val="center"/>
              <w:rPr>
                <w:rFonts w:hint="eastAsia" w:ascii="宋体" w:hAnsi="宋体" w:cs="宋体"/>
                <w:bCs/>
                <w:color w:val="000000"/>
                <w:sz w:val="20"/>
                <w:szCs w:val="20"/>
              </w:rPr>
            </w:pPr>
          </w:p>
        </w:tc>
        <w:tc>
          <w:tcPr>
            <w:tcW w:w="1589" w:type="pct"/>
            <w:shd w:val="clear" w:color="auto" w:fill="FFFFFF"/>
            <w:noWrap w:val="0"/>
            <w:vAlign w:val="center"/>
          </w:tcPr>
          <w:p w14:paraId="76100E86">
            <w:pPr>
              <w:jc w:val="center"/>
              <w:textAlignment w:val="center"/>
              <w:rPr>
                <w:rFonts w:hint="eastAsia" w:ascii="宋体" w:hAnsi="宋体" w:cs="宋体"/>
                <w:b/>
                <w:bCs/>
                <w:szCs w:val="21"/>
              </w:rPr>
            </w:pPr>
            <w:r>
              <w:rPr>
                <w:rFonts w:hint="eastAsia" w:ascii="宋体" w:hAnsi="宋体" w:cs="宋体"/>
                <w:b/>
                <w:bCs/>
                <w:szCs w:val="21"/>
              </w:rPr>
              <w:t>日期</w:t>
            </w:r>
          </w:p>
        </w:tc>
        <w:tc>
          <w:tcPr>
            <w:tcW w:w="1019" w:type="pct"/>
            <w:shd w:val="clear" w:color="auto" w:fill="FFFFFF"/>
            <w:noWrap w:val="0"/>
            <w:tcMar>
              <w:top w:w="60" w:type="dxa"/>
              <w:left w:w="80" w:type="dxa"/>
              <w:bottom w:w="60" w:type="dxa"/>
              <w:right w:w="80" w:type="dxa"/>
            </w:tcMar>
            <w:vAlign w:val="center"/>
          </w:tcPr>
          <w:p w14:paraId="48489264">
            <w:pPr>
              <w:jc w:val="center"/>
              <w:textAlignment w:val="center"/>
              <w:rPr>
                <w:rFonts w:hint="eastAsia" w:ascii="宋体" w:hAnsi="宋体" w:cs="宋体"/>
                <w:bCs/>
                <w:color w:val="000000"/>
                <w:sz w:val="20"/>
                <w:szCs w:val="20"/>
              </w:rPr>
            </w:pPr>
          </w:p>
        </w:tc>
      </w:tr>
      <w:tr w14:paraId="46498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40" w:hRule="atLeast"/>
        </w:trPr>
        <w:tc>
          <w:tcPr>
            <w:tcW w:w="1382" w:type="pct"/>
            <w:gridSpan w:val="2"/>
            <w:shd w:val="clear" w:color="auto" w:fill="FFFFFF"/>
            <w:noWrap w:val="0"/>
            <w:vAlign w:val="center"/>
          </w:tcPr>
          <w:p w14:paraId="544FF110">
            <w:pPr>
              <w:jc w:val="right"/>
              <w:rPr>
                <w:rFonts w:hint="eastAsia" w:ascii="宋体" w:hAnsi="宋体" w:cs="宋体"/>
                <w:b/>
                <w:bCs/>
                <w:szCs w:val="21"/>
              </w:rPr>
            </w:pPr>
            <w:r>
              <w:rPr>
                <w:rFonts w:ascii="宋体" w:hAnsi="宋体" w:cs="宋体"/>
                <w:b/>
                <w:bCs/>
                <w:szCs w:val="21"/>
              </w:rPr>
              <w:t>被评价企业负责人签字</w:t>
            </w:r>
          </w:p>
        </w:tc>
        <w:tc>
          <w:tcPr>
            <w:tcW w:w="1008" w:type="pct"/>
            <w:gridSpan w:val="2"/>
            <w:shd w:val="clear" w:color="auto" w:fill="FFFFFF"/>
            <w:noWrap w:val="0"/>
            <w:vAlign w:val="center"/>
          </w:tcPr>
          <w:p w14:paraId="584AC6F0">
            <w:pPr>
              <w:jc w:val="center"/>
              <w:rPr>
                <w:rFonts w:hint="eastAsia" w:ascii="宋体" w:hAnsi="宋体" w:cs="宋体"/>
                <w:bCs/>
                <w:color w:val="000000"/>
                <w:sz w:val="20"/>
                <w:szCs w:val="20"/>
              </w:rPr>
            </w:pPr>
          </w:p>
        </w:tc>
        <w:tc>
          <w:tcPr>
            <w:tcW w:w="1589" w:type="pct"/>
            <w:shd w:val="clear" w:color="auto" w:fill="FFFFFF"/>
            <w:noWrap w:val="0"/>
            <w:vAlign w:val="center"/>
          </w:tcPr>
          <w:p w14:paraId="4B295935">
            <w:pPr>
              <w:jc w:val="center"/>
              <w:textAlignment w:val="center"/>
              <w:rPr>
                <w:rFonts w:hint="eastAsia" w:ascii="宋体" w:hAnsi="宋体" w:cs="宋体"/>
                <w:b/>
                <w:bCs/>
                <w:szCs w:val="21"/>
              </w:rPr>
            </w:pPr>
            <w:r>
              <w:rPr>
                <w:rFonts w:hint="eastAsia" w:ascii="宋体" w:hAnsi="宋体" w:cs="宋体"/>
                <w:b/>
                <w:bCs/>
                <w:szCs w:val="21"/>
              </w:rPr>
              <w:t>日期</w:t>
            </w:r>
          </w:p>
        </w:tc>
        <w:tc>
          <w:tcPr>
            <w:tcW w:w="1019" w:type="pct"/>
            <w:shd w:val="clear" w:color="auto" w:fill="FFFFFF"/>
            <w:noWrap w:val="0"/>
            <w:tcMar>
              <w:top w:w="60" w:type="dxa"/>
              <w:left w:w="80" w:type="dxa"/>
              <w:bottom w:w="60" w:type="dxa"/>
              <w:right w:w="80" w:type="dxa"/>
            </w:tcMar>
            <w:vAlign w:val="center"/>
          </w:tcPr>
          <w:p w14:paraId="0F2BBF6F">
            <w:pPr>
              <w:jc w:val="center"/>
              <w:textAlignment w:val="center"/>
              <w:rPr>
                <w:rFonts w:hint="eastAsia" w:ascii="宋体" w:hAnsi="宋体" w:cs="宋体"/>
                <w:bCs/>
                <w:color w:val="000000"/>
                <w:sz w:val="20"/>
                <w:szCs w:val="20"/>
              </w:rPr>
            </w:pPr>
          </w:p>
        </w:tc>
      </w:tr>
    </w:tbl>
    <w:p w14:paraId="339F09F7">
      <w:pPr>
        <w:rPr>
          <w:rFonts w:hint="eastAsia" w:ascii="黑体" w:hAnsi="黑体" w:eastAsia="黑体"/>
        </w:rPr>
      </w:pPr>
    </w:p>
    <w:p w14:paraId="4E004FC8">
      <w:pPr>
        <w:rPr>
          <w:color w:val="000000"/>
          <w:szCs w:val="21"/>
        </w:rPr>
      </w:pPr>
      <w:r>
        <w:rPr>
          <w:rFonts w:hint="eastAsia" w:ascii="黑体" w:hAnsi="黑体" w:eastAsia="黑体"/>
        </w:rPr>
        <w:br w:type="page"/>
      </w:r>
      <w:r>
        <w:rPr>
          <w:rFonts w:ascii="黑体" w:hAnsi="黑体" w:eastAsia="黑体"/>
        </w:rPr>
        <w:t>A.</w:t>
      </w:r>
      <w:r>
        <w:rPr>
          <w:rFonts w:hint="eastAsia" w:ascii="黑体" w:hAnsi="黑体" w:eastAsia="黑体"/>
        </w:rPr>
        <w:t>3</w:t>
      </w:r>
      <w:r>
        <w:rPr>
          <w:rFonts w:ascii="黑体" w:hAnsi="黑体" w:eastAsia="黑体"/>
        </w:rPr>
        <w:t>　隐患问题整改表</w:t>
      </w:r>
    </w:p>
    <w:p w14:paraId="12C0BB37">
      <w:pPr>
        <w:rPr>
          <w:rFonts w:ascii="黑体" w:hAnsi="黑体" w:eastAsia="黑体"/>
        </w:rPr>
      </w:pPr>
      <w:r>
        <w:rPr>
          <w:rFonts w:ascii="黑体" w:hAnsi="黑体" w:eastAsia="黑体"/>
        </w:rPr>
        <w:t>A.</w:t>
      </w:r>
      <w:r>
        <w:rPr>
          <w:rFonts w:hint="eastAsia" w:ascii="黑体" w:hAnsi="黑体" w:eastAsia="黑体"/>
        </w:rPr>
        <w:t>3</w:t>
      </w:r>
      <w:r>
        <w:rPr>
          <w:rFonts w:ascii="黑体" w:hAnsi="黑体" w:eastAsia="黑体"/>
        </w:rPr>
        <w:t>.</w:t>
      </w:r>
      <w:r>
        <w:rPr>
          <w:rFonts w:hint="eastAsia" w:ascii="黑体" w:hAnsi="黑体" w:eastAsia="黑体"/>
        </w:rPr>
        <w:t>1</w:t>
      </w:r>
      <w:r>
        <w:rPr>
          <w:rFonts w:ascii="黑体" w:hAnsi="黑体" w:eastAsia="黑体"/>
        </w:rPr>
        <w:t>　</w:t>
      </w:r>
      <w:r>
        <w:rPr>
          <w:rFonts w:hint="eastAsia" w:ascii="黑体" w:hAnsi="黑体" w:eastAsia="黑体"/>
        </w:rPr>
        <w:t>表格填写</w:t>
      </w:r>
    </w:p>
    <w:p w14:paraId="05D070FE">
      <w:pPr>
        <w:ind w:firstLine="420" w:firstLineChars="200"/>
        <w:rPr>
          <w:rFonts w:hint="eastAsia" w:ascii="宋体" w:hAnsi="宋体" w:cs="宋体"/>
          <w:color w:val="000000"/>
        </w:rPr>
      </w:pPr>
      <w:r>
        <w:rPr>
          <w:rFonts w:hint="eastAsia" w:ascii="宋体" w:hAnsi="宋体" w:cs="宋体"/>
          <w:color w:val="000000"/>
        </w:rPr>
        <w:t xml:space="preserve">A.3.1.1 </w:t>
      </w:r>
      <w:r>
        <w:rPr>
          <w:rFonts w:ascii="宋体" w:hAnsi="宋体" w:cs="宋体"/>
          <w:color w:val="000000"/>
        </w:rPr>
        <w:t>安全评价项目按照一</w:t>
      </w:r>
      <w:r>
        <w:rPr>
          <w:rFonts w:hint="eastAsia" w:ascii="宋体" w:hAnsi="宋体" w:cs="宋体"/>
          <w:color w:val="000000"/>
        </w:rPr>
        <w:t>人</w:t>
      </w:r>
      <w:r>
        <w:rPr>
          <w:rFonts w:ascii="宋体" w:hAnsi="宋体" w:cs="宋体"/>
          <w:color w:val="000000"/>
        </w:rPr>
        <w:t>一表管理</w:t>
      </w:r>
      <w:r>
        <w:rPr>
          <w:rFonts w:hint="eastAsia" w:ascii="宋体" w:hAnsi="宋体" w:cs="宋体"/>
          <w:color w:val="000000"/>
        </w:rPr>
        <w:t>，填写每个成员发现提出的全部问题隐患。</w:t>
      </w:r>
    </w:p>
    <w:p w14:paraId="49872DEC">
      <w:pPr>
        <w:ind w:firstLine="420" w:firstLineChars="200"/>
        <w:rPr>
          <w:rFonts w:hint="eastAsia" w:ascii="宋体" w:hAnsi="宋体" w:cs="宋体"/>
          <w:color w:val="000000"/>
        </w:rPr>
      </w:pPr>
      <w:r>
        <w:rPr>
          <w:rFonts w:hint="eastAsia" w:ascii="宋体" w:hAnsi="宋体" w:cs="宋体"/>
          <w:color w:val="000000"/>
        </w:rPr>
        <w:t>A.3.1.2 未发现提出问题隐患的人员“零报告”，在首行首个空格填写“无”。</w:t>
      </w:r>
    </w:p>
    <w:p w14:paraId="25A1A501">
      <w:pPr>
        <w:ind w:firstLine="420" w:firstLineChars="200"/>
        <w:rPr>
          <w:rFonts w:hint="eastAsia" w:ascii="宋体" w:hAnsi="宋体" w:cs="宋体"/>
          <w:color w:val="000000"/>
        </w:rPr>
      </w:pPr>
      <w:r>
        <w:rPr>
          <w:rFonts w:hint="eastAsia" w:ascii="宋体" w:hAnsi="宋体" w:cs="宋体"/>
          <w:color w:val="000000"/>
        </w:rPr>
        <w:t>A.3.1.3 清晰描述问题隐患情况，直击问题本质。</w:t>
      </w:r>
    </w:p>
    <w:p w14:paraId="6F8D6D9A">
      <w:pPr>
        <w:ind w:firstLine="420" w:firstLineChars="200"/>
        <w:rPr>
          <w:rFonts w:hint="eastAsia" w:ascii="宋体" w:hAnsi="宋体" w:cs="宋体"/>
          <w:color w:val="000000"/>
        </w:rPr>
      </w:pPr>
      <w:r>
        <w:rPr>
          <w:rFonts w:hint="eastAsia" w:ascii="宋体" w:hAnsi="宋体" w:cs="宋体"/>
          <w:color w:val="000000"/>
        </w:rPr>
        <w:t>A.3.1.4 整改情况说明具体整改内容，能体现是否整改合格，不得用“已整改”代替。</w:t>
      </w:r>
    </w:p>
    <w:p w14:paraId="4D9F219A">
      <w:pPr>
        <w:ind w:firstLine="420" w:firstLineChars="200"/>
        <w:rPr>
          <w:rFonts w:hint="eastAsia" w:ascii="宋体" w:hAnsi="宋体" w:cs="宋体"/>
          <w:color w:val="000000"/>
        </w:rPr>
      </w:pPr>
      <w:r>
        <w:rPr>
          <w:rFonts w:hint="eastAsia" w:ascii="宋体" w:hAnsi="宋体" w:cs="宋体"/>
          <w:color w:val="000000"/>
        </w:rPr>
        <w:t>A.3.1.5 复查人员应为安全评价项目组人员，须本人签字。</w:t>
      </w:r>
    </w:p>
    <w:p w14:paraId="3E1AF21D">
      <w:pPr>
        <w:rPr>
          <w:rFonts w:hint="eastAsia" w:ascii="黑体" w:hAnsi="黑体" w:eastAsia="黑体"/>
        </w:rPr>
      </w:pPr>
      <w:r>
        <w:rPr>
          <w:rFonts w:ascii="黑体" w:hAnsi="黑体" w:eastAsia="黑体"/>
        </w:rPr>
        <w:t>A.</w:t>
      </w:r>
      <w:r>
        <w:rPr>
          <w:rFonts w:hint="eastAsia" w:ascii="黑体" w:hAnsi="黑体" w:eastAsia="黑体"/>
        </w:rPr>
        <w:t>3</w:t>
      </w:r>
      <w:r>
        <w:rPr>
          <w:rFonts w:ascii="黑体" w:hAnsi="黑体" w:eastAsia="黑体"/>
        </w:rPr>
        <w:t>.</w:t>
      </w:r>
      <w:r>
        <w:rPr>
          <w:rFonts w:hint="eastAsia" w:ascii="黑体" w:hAnsi="黑体" w:eastAsia="黑体"/>
        </w:rPr>
        <w:t>2</w:t>
      </w:r>
      <w:r>
        <w:rPr>
          <w:rFonts w:ascii="黑体" w:hAnsi="黑体" w:eastAsia="黑体"/>
        </w:rPr>
        <w:t>　</w:t>
      </w:r>
      <w:r>
        <w:rPr>
          <w:rFonts w:hint="eastAsia" w:ascii="黑体" w:hAnsi="黑体" w:eastAsia="黑体"/>
        </w:rPr>
        <w:t>表格格式</w:t>
      </w:r>
    </w:p>
    <w:p w14:paraId="7290B008">
      <w:pPr>
        <w:ind w:firstLine="420" w:firstLineChars="200"/>
        <w:rPr>
          <w:rFonts w:ascii="宋体" w:hAnsi="宋体" w:cs="宋体"/>
          <w:color w:val="000000"/>
        </w:rPr>
      </w:pPr>
      <w:r>
        <w:rPr>
          <w:rFonts w:hint="eastAsia" w:ascii="宋体" w:hAnsi="宋体" w:cs="宋体"/>
          <w:color w:val="000000"/>
        </w:rPr>
        <w:t>按照表A.3的格式编制隐患问题整改表。</w:t>
      </w:r>
    </w:p>
    <w:p w14:paraId="766E1D0C">
      <w:pPr>
        <w:spacing w:line="280" w:lineRule="exact"/>
        <w:jc w:val="center"/>
        <w:rPr>
          <w:rFonts w:ascii="Times New Roman" w:hAnsi="Times New Roman" w:cs="微软雅黑"/>
          <w:b/>
          <w:bCs/>
          <w:sz w:val="28"/>
          <w:szCs w:val="28"/>
        </w:rPr>
      </w:pPr>
      <w:r>
        <w:rPr>
          <w:rFonts w:ascii="黑体" w:hAnsi="黑体" w:eastAsia="黑体"/>
        </w:rPr>
        <w:t>表</w:t>
      </w:r>
      <w:r>
        <w:rPr>
          <w:rFonts w:hint="eastAsia" w:ascii="黑体" w:hAnsi="黑体" w:eastAsia="黑体"/>
        </w:rPr>
        <w:t xml:space="preserve">A.3  </w:t>
      </w:r>
      <w:r>
        <w:rPr>
          <w:rFonts w:hint="eastAsia" w:ascii="黑体" w:hAnsi="黑体" w:eastAsia="黑体"/>
          <w:color w:val="000000"/>
        </w:rPr>
        <w:t>隐患问题整改</w:t>
      </w:r>
      <w:r>
        <w:rPr>
          <w:rFonts w:hint="eastAsia" w:ascii="黑体" w:hAnsi="黑体" w:eastAsia="黑体"/>
        </w:rPr>
        <w:t>表</w:t>
      </w:r>
    </w:p>
    <w:tbl>
      <w:tblPr>
        <w:tblStyle w:val="36"/>
        <w:tblW w:w="4994" w:type="pct"/>
        <w:tblInd w:w="0" w:type="dxa"/>
        <w:shd w:val="clear" w:color="auto" w:fill="FFFFFF"/>
        <w:tblLayout w:type="autofit"/>
        <w:tblCellMar>
          <w:top w:w="15" w:type="dxa"/>
          <w:left w:w="15" w:type="dxa"/>
          <w:bottom w:w="15" w:type="dxa"/>
          <w:right w:w="15" w:type="dxa"/>
        </w:tblCellMar>
      </w:tblPr>
      <w:tblGrid>
        <w:gridCol w:w="755"/>
        <w:gridCol w:w="2009"/>
        <w:gridCol w:w="1329"/>
        <w:gridCol w:w="1335"/>
        <w:gridCol w:w="1329"/>
        <w:gridCol w:w="1329"/>
        <w:gridCol w:w="1258"/>
      </w:tblGrid>
      <w:tr w14:paraId="66811230">
        <w:tblPrEx>
          <w:shd w:val="clear" w:color="auto" w:fill="FFFFFF"/>
          <w:tblCellMar>
            <w:top w:w="15" w:type="dxa"/>
            <w:left w:w="15" w:type="dxa"/>
            <w:bottom w:w="15" w:type="dxa"/>
            <w:right w:w="15" w:type="dxa"/>
          </w:tblCellMar>
        </w:tblPrEx>
        <w:trPr>
          <w:trHeight w:val="264" w:hRule="atLeast"/>
        </w:trPr>
        <w:tc>
          <w:tcPr>
            <w:tcW w:w="1479" w:type="pct"/>
            <w:gridSpan w:val="2"/>
            <w:tcBorders>
              <w:top w:val="single" w:color="auto" w:sz="4" w:space="0"/>
              <w:left w:val="single" w:color="auto" w:sz="4" w:space="0"/>
              <w:bottom w:val="single" w:color="auto" w:sz="4" w:space="0"/>
              <w:right w:val="single" w:color="auto" w:sz="4" w:space="0"/>
            </w:tcBorders>
            <w:shd w:val="clear" w:color="auto" w:fill="FFFFFF"/>
            <w:noWrap w:val="0"/>
            <w:tcMar>
              <w:top w:w="60" w:type="dxa"/>
              <w:left w:w="80" w:type="dxa"/>
              <w:bottom w:w="60" w:type="dxa"/>
              <w:right w:w="80" w:type="dxa"/>
            </w:tcMar>
            <w:vAlign w:val="center"/>
          </w:tcPr>
          <w:p w14:paraId="2D9B2D4B">
            <w:pPr>
              <w:jc w:val="center"/>
              <w:textAlignment w:val="center"/>
              <w:rPr>
                <w:rFonts w:hint="eastAsia" w:ascii="Times New Roman" w:hAnsi="Times New Roman" w:cs="宋体"/>
                <w:bCs/>
                <w:color w:val="000000"/>
                <w:sz w:val="20"/>
                <w:szCs w:val="20"/>
              </w:rPr>
            </w:pPr>
            <w:r>
              <w:rPr>
                <w:rFonts w:hint="eastAsia" w:ascii="Times New Roman" w:hAnsi="Times New Roman" w:cs="宋体"/>
                <w:bCs/>
                <w:color w:val="000000"/>
                <w:sz w:val="20"/>
                <w:szCs w:val="20"/>
              </w:rPr>
              <w:t>评价项目名称</w:t>
            </w:r>
          </w:p>
        </w:tc>
        <w:tc>
          <w:tcPr>
            <w:tcW w:w="3520" w:type="pct"/>
            <w:gridSpan w:val="5"/>
            <w:tcBorders>
              <w:top w:val="single" w:color="auto" w:sz="4" w:space="0"/>
              <w:left w:val="single" w:color="auto" w:sz="4" w:space="0"/>
              <w:bottom w:val="single" w:color="auto" w:sz="4" w:space="0"/>
              <w:right w:val="single" w:color="auto" w:sz="4" w:space="0"/>
            </w:tcBorders>
            <w:shd w:val="clear" w:color="auto" w:fill="FFFFFF"/>
            <w:noWrap w:val="0"/>
            <w:tcMar>
              <w:top w:w="60" w:type="dxa"/>
              <w:left w:w="80" w:type="dxa"/>
              <w:bottom w:w="60" w:type="dxa"/>
              <w:right w:w="80" w:type="dxa"/>
            </w:tcMar>
            <w:vAlign w:val="center"/>
          </w:tcPr>
          <w:p w14:paraId="712AE093">
            <w:pPr>
              <w:textAlignment w:val="center"/>
              <w:rPr>
                <w:rFonts w:hint="eastAsia" w:ascii="Times New Roman" w:hAnsi="Times New Roman" w:cs="宋体"/>
                <w:color w:val="000000"/>
                <w:sz w:val="20"/>
                <w:szCs w:val="20"/>
              </w:rPr>
            </w:pPr>
          </w:p>
        </w:tc>
      </w:tr>
      <w:tr w14:paraId="3E509E31">
        <w:tblPrEx>
          <w:shd w:val="clear" w:color="auto" w:fill="FFFFFF"/>
          <w:tblCellMar>
            <w:top w:w="15" w:type="dxa"/>
            <w:left w:w="15" w:type="dxa"/>
            <w:bottom w:w="15" w:type="dxa"/>
            <w:right w:w="15" w:type="dxa"/>
          </w:tblCellMar>
        </w:tblPrEx>
        <w:trPr>
          <w:trHeight w:val="264" w:hRule="atLeast"/>
        </w:trPr>
        <w:tc>
          <w:tcPr>
            <w:tcW w:w="1479" w:type="pct"/>
            <w:gridSpan w:val="2"/>
            <w:tcBorders>
              <w:top w:val="single" w:color="auto" w:sz="4" w:space="0"/>
              <w:left w:val="single" w:color="auto" w:sz="4" w:space="0"/>
              <w:bottom w:val="single" w:color="auto" w:sz="4" w:space="0"/>
              <w:right w:val="single" w:color="auto" w:sz="4" w:space="0"/>
            </w:tcBorders>
            <w:shd w:val="clear" w:color="auto" w:fill="FFFFFF"/>
            <w:noWrap w:val="0"/>
            <w:tcMar>
              <w:top w:w="60" w:type="dxa"/>
              <w:left w:w="80" w:type="dxa"/>
              <w:bottom w:w="60" w:type="dxa"/>
              <w:right w:w="80" w:type="dxa"/>
            </w:tcMar>
            <w:vAlign w:val="center"/>
          </w:tcPr>
          <w:p w14:paraId="0BB09A51">
            <w:pPr>
              <w:jc w:val="center"/>
              <w:textAlignment w:val="center"/>
              <w:rPr>
                <w:rFonts w:hint="eastAsia" w:ascii="Times New Roman" w:hAnsi="Times New Roman" w:cs="宋体"/>
                <w:bCs/>
                <w:color w:val="000000"/>
                <w:sz w:val="20"/>
                <w:szCs w:val="20"/>
              </w:rPr>
            </w:pPr>
            <w:r>
              <w:rPr>
                <w:rFonts w:hint="eastAsia" w:ascii="Times New Roman" w:hAnsi="Times New Roman" w:cs="宋体"/>
                <w:bCs/>
                <w:color w:val="000000"/>
                <w:sz w:val="20"/>
                <w:szCs w:val="20"/>
              </w:rPr>
              <w:t>被评价企业名称</w:t>
            </w:r>
          </w:p>
        </w:tc>
        <w:tc>
          <w:tcPr>
            <w:tcW w:w="3520" w:type="pct"/>
            <w:gridSpan w:val="5"/>
            <w:tcBorders>
              <w:top w:val="single" w:color="auto" w:sz="4" w:space="0"/>
              <w:left w:val="single" w:color="auto" w:sz="4" w:space="0"/>
              <w:bottom w:val="single" w:color="auto" w:sz="4" w:space="0"/>
              <w:right w:val="single" w:color="auto" w:sz="4" w:space="0"/>
            </w:tcBorders>
            <w:shd w:val="clear" w:color="auto" w:fill="FFFFFF"/>
            <w:noWrap w:val="0"/>
            <w:tcMar>
              <w:top w:w="60" w:type="dxa"/>
              <w:left w:w="80" w:type="dxa"/>
              <w:bottom w:w="60" w:type="dxa"/>
              <w:right w:w="80" w:type="dxa"/>
            </w:tcMar>
            <w:vAlign w:val="center"/>
          </w:tcPr>
          <w:p w14:paraId="242AD49C">
            <w:pPr>
              <w:textAlignment w:val="center"/>
              <w:rPr>
                <w:rFonts w:hint="eastAsia" w:ascii="Times New Roman" w:hAnsi="Times New Roman" w:cs="宋体"/>
                <w:color w:val="000000"/>
                <w:sz w:val="20"/>
                <w:szCs w:val="20"/>
              </w:rPr>
            </w:pPr>
          </w:p>
        </w:tc>
      </w:tr>
      <w:tr w14:paraId="4550E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9" w:hRule="atLeast"/>
        </w:trPr>
        <w:tc>
          <w:tcPr>
            <w:tcW w:w="404" w:type="pct"/>
            <w:tcBorders>
              <w:top w:val="single" w:color="auto" w:sz="4" w:space="0"/>
            </w:tcBorders>
            <w:shd w:val="clear" w:color="auto" w:fill="auto"/>
            <w:noWrap w:val="0"/>
            <w:vAlign w:val="top"/>
          </w:tcPr>
          <w:p w14:paraId="3B0EBCA5">
            <w:pPr>
              <w:widowControl/>
              <w:jc w:val="center"/>
              <w:rPr>
                <w:rFonts w:hint="eastAsia" w:ascii="Times New Roman" w:hAnsi="Times New Roman"/>
                <w:kern w:val="0"/>
              </w:rPr>
            </w:pPr>
            <w:r>
              <w:rPr>
                <w:rFonts w:hint="eastAsia" w:ascii="Times New Roman" w:hAnsi="Times New Roman"/>
                <w:kern w:val="0"/>
              </w:rPr>
              <w:t>序号</w:t>
            </w:r>
          </w:p>
        </w:tc>
        <w:tc>
          <w:tcPr>
            <w:tcW w:w="1074" w:type="pct"/>
            <w:tcBorders>
              <w:top w:val="single" w:color="auto" w:sz="4" w:space="0"/>
            </w:tcBorders>
            <w:shd w:val="clear" w:color="auto" w:fill="auto"/>
            <w:noWrap w:val="0"/>
            <w:vAlign w:val="top"/>
          </w:tcPr>
          <w:p w14:paraId="04330E37">
            <w:pPr>
              <w:widowControl/>
              <w:jc w:val="center"/>
              <w:rPr>
                <w:rFonts w:hint="eastAsia" w:ascii="Times New Roman" w:hAnsi="Times New Roman"/>
                <w:kern w:val="0"/>
              </w:rPr>
            </w:pPr>
            <w:r>
              <w:rPr>
                <w:rFonts w:hint="eastAsia" w:ascii="Times New Roman" w:hAnsi="Times New Roman"/>
                <w:kern w:val="0"/>
              </w:rPr>
              <w:t>问题隐患描述</w:t>
            </w:r>
          </w:p>
        </w:tc>
        <w:tc>
          <w:tcPr>
            <w:tcW w:w="711" w:type="pct"/>
            <w:tcBorders>
              <w:top w:val="single" w:color="auto" w:sz="4" w:space="0"/>
            </w:tcBorders>
            <w:shd w:val="clear" w:color="auto" w:fill="auto"/>
            <w:noWrap w:val="0"/>
            <w:vAlign w:val="top"/>
          </w:tcPr>
          <w:p w14:paraId="169CAA20">
            <w:pPr>
              <w:widowControl/>
              <w:jc w:val="center"/>
              <w:rPr>
                <w:rFonts w:hint="eastAsia" w:ascii="Times New Roman" w:hAnsi="Times New Roman"/>
                <w:kern w:val="0"/>
              </w:rPr>
            </w:pPr>
            <w:r>
              <w:rPr>
                <w:rFonts w:hint="eastAsia" w:ascii="Times New Roman" w:hAnsi="Times New Roman"/>
                <w:kern w:val="0"/>
              </w:rPr>
              <w:t>发现时间</w:t>
            </w:r>
          </w:p>
        </w:tc>
        <w:tc>
          <w:tcPr>
            <w:tcW w:w="713" w:type="pct"/>
            <w:tcBorders>
              <w:top w:val="single" w:color="auto" w:sz="4" w:space="0"/>
            </w:tcBorders>
            <w:shd w:val="clear" w:color="auto" w:fill="auto"/>
            <w:noWrap w:val="0"/>
            <w:vAlign w:val="top"/>
          </w:tcPr>
          <w:p w14:paraId="088D8DC5">
            <w:pPr>
              <w:widowControl/>
              <w:jc w:val="center"/>
              <w:rPr>
                <w:rFonts w:hint="eastAsia" w:ascii="Times New Roman" w:hAnsi="Times New Roman"/>
                <w:kern w:val="0"/>
              </w:rPr>
            </w:pPr>
            <w:r>
              <w:rPr>
                <w:rFonts w:hint="eastAsia" w:ascii="Times New Roman" w:hAnsi="Times New Roman"/>
                <w:kern w:val="0"/>
              </w:rPr>
              <w:t>整改情况</w:t>
            </w:r>
          </w:p>
        </w:tc>
        <w:tc>
          <w:tcPr>
            <w:tcW w:w="711" w:type="pct"/>
            <w:tcBorders>
              <w:top w:val="single" w:color="auto" w:sz="4" w:space="0"/>
            </w:tcBorders>
            <w:shd w:val="clear" w:color="auto" w:fill="auto"/>
            <w:noWrap w:val="0"/>
            <w:vAlign w:val="top"/>
          </w:tcPr>
          <w:p w14:paraId="56367BCE">
            <w:pPr>
              <w:widowControl/>
              <w:jc w:val="center"/>
              <w:rPr>
                <w:rFonts w:hint="eastAsia" w:ascii="Times New Roman" w:hAnsi="Times New Roman"/>
                <w:kern w:val="0"/>
              </w:rPr>
            </w:pPr>
            <w:r>
              <w:rPr>
                <w:rFonts w:hint="eastAsia" w:ascii="Times New Roman" w:hAnsi="Times New Roman"/>
                <w:kern w:val="0"/>
              </w:rPr>
              <w:t>整改时间</w:t>
            </w:r>
          </w:p>
        </w:tc>
        <w:tc>
          <w:tcPr>
            <w:tcW w:w="711" w:type="pct"/>
            <w:tcBorders>
              <w:top w:val="single" w:color="auto" w:sz="4" w:space="0"/>
            </w:tcBorders>
            <w:shd w:val="clear" w:color="auto" w:fill="auto"/>
            <w:noWrap w:val="0"/>
            <w:vAlign w:val="top"/>
          </w:tcPr>
          <w:p w14:paraId="033D455F">
            <w:pPr>
              <w:widowControl/>
              <w:jc w:val="center"/>
              <w:rPr>
                <w:rFonts w:hint="eastAsia" w:ascii="Times New Roman" w:hAnsi="Times New Roman"/>
                <w:kern w:val="0"/>
              </w:rPr>
            </w:pPr>
            <w:r>
              <w:rPr>
                <w:rFonts w:hint="eastAsia" w:ascii="Times New Roman" w:hAnsi="Times New Roman"/>
                <w:kern w:val="0"/>
              </w:rPr>
              <w:t>复查人员</w:t>
            </w:r>
          </w:p>
        </w:tc>
        <w:tc>
          <w:tcPr>
            <w:tcW w:w="673" w:type="pct"/>
            <w:tcBorders>
              <w:top w:val="single" w:color="auto" w:sz="4" w:space="0"/>
            </w:tcBorders>
            <w:shd w:val="clear" w:color="auto" w:fill="auto"/>
            <w:noWrap w:val="0"/>
            <w:vAlign w:val="top"/>
          </w:tcPr>
          <w:p w14:paraId="221A1012">
            <w:pPr>
              <w:widowControl/>
              <w:jc w:val="center"/>
              <w:rPr>
                <w:rFonts w:hint="eastAsia" w:ascii="Times New Roman" w:hAnsi="Times New Roman"/>
                <w:kern w:val="0"/>
              </w:rPr>
            </w:pPr>
            <w:r>
              <w:rPr>
                <w:rFonts w:hint="eastAsia" w:ascii="Times New Roman" w:hAnsi="Times New Roman"/>
                <w:kern w:val="0"/>
              </w:rPr>
              <w:t>复审时间</w:t>
            </w:r>
          </w:p>
        </w:tc>
      </w:tr>
      <w:tr w14:paraId="2E753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8" w:hRule="atLeast"/>
        </w:trPr>
        <w:tc>
          <w:tcPr>
            <w:tcW w:w="404" w:type="pct"/>
            <w:shd w:val="clear" w:color="auto" w:fill="auto"/>
            <w:noWrap w:val="0"/>
            <w:vAlign w:val="top"/>
          </w:tcPr>
          <w:p w14:paraId="76322235">
            <w:pPr>
              <w:widowControl/>
              <w:jc w:val="center"/>
              <w:rPr>
                <w:rFonts w:hint="eastAsia" w:ascii="Times New Roman" w:hAnsi="Times New Roman"/>
                <w:kern w:val="0"/>
              </w:rPr>
            </w:pPr>
            <w:r>
              <w:rPr>
                <w:rFonts w:hint="eastAsia" w:ascii="Times New Roman" w:hAnsi="Times New Roman"/>
                <w:kern w:val="0"/>
              </w:rPr>
              <w:t>1</w:t>
            </w:r>
          </w:p>
        </w:tc>
        <w:tc>
          <w:tcPr>
            <w:tcW w:w="1074" w:type="pct"/>
            <w:shd w:val="clear" w:color="auto" w:fill="auto"/>
            <w:noWrap w:val="0"/>
            <w:vAlign w:val="top"/>
          </w:tcPr>
          <w:p w14:paraId="739F6A3E">
            <w:pPr>
              <w:widowControl/>
              <w:rPr>
                <w:rFonts w:hint="eastAsia" w:ascii="Times New Roman" w:hAnsi="Times New Roman"/>
                <w:kern w:val="0"/>
              </w:rPr>
            </w:pPr>
          </w:p>
        </w:tc>
        <w:tc>
          <w:tcPr>
            <w:tcW w:w="711" w:type="pct"/>
            <w:shd w:val="clear" w:color="auto" w:fill="auto"/>
            <w:noWrap w:val="0"/>
            <w:vAlign w:val="top"/>
          </w:tcPr>
          <w:p w14:paraId="1DE34825">
            <w:pPr>
              <w:widowControl/>
              <w:rPr>
                <w:rFonts w:hint="eastAsia" w:ascii="Times New Roman" w:hAnsi="Times New Roman"/>
                <w:kern w:val="0"/>
              </w:rPr>
            </w:pPr>
          </w:p>
        </w:tc>
        <w:tc>
          <w:tcPr>
            <w:tcW w:w="713" w:type="pct"/>
            <w:shd w:val="clear" w:color="auto" w:fill="auto"/>
            <w:noWrap w:val="0"/>
            <w:vAlign w:val="top"/>
          </w:tcPr>
          <w:p w14:paraId="28F395AD">
            <w:pPr>
              <w:widowControl/>
              <w:rPr>
                <w:rFonts w:hint="eastAsia" w:ascii="Times New Roman" w:hAnsi="Times New Roman"/>
                <w:kern w:val="0"/>
              </w:rPr>
            </w:pPr>
          </w:p>
        </w:tc>
        <w:tc>
          <w:tcPr>
            <w:tcW w:w="711" w:type="pct"/>
            <w:shd w:val="clear" w:color="auto" w:fill="auto"/>
            <w:noWrap w:val="0"/>
            <w:vAlign w:val="top"/>
          </w:tcPr>
          <w:p w14:paraId="57F15543">
            <w:pPr>
              <w:widowControl/>
              <w:rPr>
                <w:rFonts w:hint="eastAsia" w:ascii="Times New Roman" w:hAnsi="Times New Roman"/>
                <w:kern w:val="0"/>
              </w:rPr>
            </w:pPr>
          </w:p>
        </w:tc>
        <w:tc>
          <w:tcPr>
            <w:tcW w:w="711" w:type="pct"/>
            <w:shd w:val="clear" w:color="auto" w:fill="auto"/>
            <w:noWrap w:val="0"/>
            <w:vAlign w:val="top"/>
          </w:tcPr>
          <w:p w14:paraId="511E1601">
            <w:pPr>
              <w:widowControl/>
              <w:rPr>
                <w:rFonts w:hint="eastAsia" w:ascii="Times New Roman" w:hAnsi="Times New Roman"/>
                <w:kern w:val="0"/>
              </w:rPr>
            </w:pPr>
          </w:p>
        </w:tc>
        <w:tc>
          <w:tcPr>
            <w:tcW w:w="673" w:type="pct"/>
            <w:shd w:val="clear" w:color="auto" w:fill="auto"/>
            <w:noWrap w:val="0"/>
            <w:vAlign w:val="top"/>
          </w:tcPr>
          <w:p w14:paraId="62F23EA4">
            <w:pPr>
              <w:widowControl/>
              <w:rPr>
                <w:rFonts w:hint="eastAsia" w:ascii="Times New Roman" w:hAnsi="Times New Roman"/>
                <w:kern w:val="0"/>
              </w:rPr>
            </w:pPr>
          </w:p>
        </w:tc>
      </w:tr>
      <w:tr w14:paraId="40306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trPr>
        <w:tc>
          <w:tcPr>
            <w:tcW w:w="404" w:type="pct"/>
            <w:shd w:val="clear" w:color="auto" w:fill="auto"/>
            <w:noWrap w:val="0"/>
            <w:vAlign w:val="top"/>
          </w:tcPr>
          <w:p w14:paraId="3D529C7E">
            <w:pPr>
              <w:widowControl/>
              <w:jc w:val="center"/>
              <w:rPr>
                <w:rFonts w:hint="eastAsia" w:ascii="Times New Roman" w:hAnsi="Times New Roman"/>
                <w:kern w:val="0"/>
              </w:rPr>
            </w:pPr>
            <w:r>
              <w:rPr>
                <w:rFonts w:hint="eastAsia" w:ascii="Times New Roman" w:hAnsi="Times New Roman"/>
                <w:kern w:val="0"/>
              </w:rPr>
              <w:t>2</w:t>
            </w:r>
          </w:p>
        </w:tc>
        <w:tc>
          <w:tcPr>
            <w:tcW w:w="1074" w:type="pct"/>
            <w:shd w:val="clear" w:color="auto" w:fill="auto"/>
            <w:noWrap w:val="0"/>
            <w:vAlign w:val="top"/>
          </w:tcPr>
          <w:p w14:paraId="1882C546">
            <w:pPr>
              <w:widowControl/>
              <w:rPr>
                <w:rFonts w:hint="eastAsia" w:ascii="Times New Roman" w:hAnsi="Times New Roman"/>
                <w:kern w:val="0"/>
              </w:rPr>
            </w:pPr>
          </w:p>
        </w:tc>
        <w:tc>
          <w:tcPr>
            <w:tcW w:w="711" w:type="pct"/>
            <w:shd w:val="clear" w:color="auto" w:fill="auto"/>
            <w:noWrap w:val="0"/>
            <w:vAlign w:val="top"/>
          </w:tcPr>
          <w:p w14:paraId="26396159">
            <w:pPr>
              <w:widowControl/>
              <w:rPr>
                <w:rFonts w:hint="eastAsia" w:ascii="Times New Roman" w:hAnsi="Times New Roman"/>
                <w:kern w:val="0"/>
              </w:rPr>
            </w:pPr>
          </w:p>
        </w:tc>
        <w:tc>
          <w:tcPr>
            <w:tcW w:w="713" w:type="pct"/>
            <w:shd w:val="clear" w:color="auto" w:fill="auto"/>
            <w:noWrap w:val="0"/>
            <w:vAlign w:val="top"/>
          </w:tcPr>
          <w:p w14:paraId="5F09890E">
            <w:pPr>
              <w:widowControl/>
              <w:rPr>
                <w:rFonts w:hint="eastAsia" w:ascii="Times New Roman" w:hAnsi="Times New Roman"/>
                <w:kern w:val="0"/>
              </w:rPr>
            </w:pPr>
          </w:p>
        </w:tc>
        <w:tc>
          <w:tcPr>
            <w:tcW w:w="711" w:type="pct"/>
            <w:shd w:val="clear" w:color="auto" w:fill="auto"/>
            <w:noWrap w:val="0"/>
            <w:vAlign w:val="top"/>
          </w:tcPr>
          <w:p w14:paraId="50C52C1A">
            <w:pPr>
              <w:widowControl/>
              <w:rPr>
                <w:rFonts w:hint="eastAsia" w:ascii="Times New Roman" w:hAnsi="Times New Roman"/>
                <w:kern w:val="0"/>
              </w:rPr>
            </w:pPr>
          </w:p>
        </w:tc>
        <w:tc>
          <w:tcPr>
            <w:tcW w:w="711" w:type="pct"/>
            <w:shd w:val="clear" w:color="auto" w:fill="auto"/>
            <w:noWrap w:val="0"/>
            <w:vAlign w:val="top"/>
          </w:tcPr>
          <w:p w14:paraId="5A197CA6">
            <w:pPr>
              <w:widowControl/>
              <w:rPr>
                <w:rFonts w:hint="eastAsia" w:ascii="Times New Roman" w:hAnsi="Times New Roman"/>
                <w:kern w:val="0"/>
              </w:rPr>
            </w:pPr>
          </w:p>
        </w:tc>
        <w:tc>
          <w:tcPr>
            <w:tcW w:w="673" w:type="pct"/>
            <w:shd w:val="clear" w:color="auto" w:fill="auto"/>
            <w:noWrap w:val="0"/>
            <w:vAlign w:val="top"/>
          </w:tcPr>
          <w:p w14:paraId="27E32017">
            <w:pPr>
              <w:widowControl/>
              <w:rPr>
                <w:rFonts w:hint="eastAsia" w:ascii="Times New Roman" w:hAnsi="Times New Roman"/>
                <w:kern w:val="0"/>
              </w:rPr>
            </w:pPr>
          </w:p>
        </w:tc>
      </w:tr>
      <w:tr w14:paraId="0C764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trPr>
        <w:tc>
          <w:tcPr>
            <w:tcW w:w="404" w:type="pct"/>
            <w:shd w:val="clear" w:color="auto" w:fill="auto"/>
            <w:noWrap w:val="0"/>
            <w:vAlign w:val="top"/>
          </w:tcPr>
          <w:p w14:paraId="046A6330">
            <w:pPr>
              <w:widowControl/>
              <w:jc w:val="center"/>
              <w:rPr>
                <w:rFonts w:hint="eastAsia" w:ascii="Times New Roman" w:hAnsi="Times New Roman"/>
                <w:kern w:val="0"/>
              </w:rPr>
            </w:pPr>
            <w:r>
              <w:rPr>
                <w:rFonts w:hint="eastAsia" w:ascii="Times New Roman" w:hAnsi="Times New Roman"/>
                <w:kern w:val="0"/>
              </w:rPr>
              <w:t>3</w:t>
            </w:r>
          </w:p>
        </w:tc>
        <w:tc>
          <w:tcPr>
            <w:tcW w:w="1074" w:type="pct"/>
            <w:shd w:val="clear" w:color="auto" w:fill="auto"/>
            <w:noWrap w:val="0"/>
            <w:vAlign w:val="top"/>
          </w:tcPr>
          <w:p w14:paraId="0A8E117A">
            <w:pPr>
              <w:widowControl/>
              <w:rPr>
                <w:rFonts w:hint="eastAsia" w:ascii="Times New Roman" w:hAnsi="Times New Roman"/>
                <w:kern w:val="0"/>
              </w:rPr>
            </w:pPr>
          </w:p>
        </w:tc>
        <w:tc>
          <w:tcPr>
            <w:tcW w:w="711" w:type="pct"/>
            <w:shd w:val="clear" w:color="auto" w:fill="auto"/>
            <w:noWrap w:val="0"/>
            <w:vAlign w:val="top"/>
          </w:tcPr>
          <w:p w14:paraId="27D3E58D">
            <w:pPr>
              <w:widowControl/>
              <w:rPr>
                <w:rFonts w:hint="eastAsia" w:ascii="Times New Roman" w:hAnsi="Times New Roman"/>
                <w:kern w:val="0"/>
              </w:rPr>
            </w:pPr>
          </w:p>
        </w:tc>
        <w:tc>
          <w:tcPr>
            <w:tcW w:w="713" w:type="pct"/>
            <w:shd w:val="clear" w:color="auto" w:fill="auto"/>
            <w:noWrap w:val="0"/>
            <w:vAlign w:val="top"/>
          </w:tcPr>
          <w:p w14:paraId="414DFD37">
            <w:pPr>
              <w:widowControl/>
              <w:rPr>
                <w:rFonts w:hint="eastAsia" w:ascii="Times New Roman" w:hAnsi="Times New Roman"/>
                <w:kern w:val="0"/>
              </w:rPr>
            </w:pPr>
          </w:p>
        </w:tc>
        <w:tc>
          <w:tcPr>
            <w:tcW w:w="711" w:type="pct"/>
            <w:shd w:val="clear" w:color="auto" w:fill="auto"/>
            <w:noWrap w:val="0"/>
            <w:vAlign w:val="top"/>
          </w:tcPr>
          <w:p w14:paraId="7C48F938">
            <w:pPr>
              <w:widowControl/>
              <w:rPr>
                <w:rFonts w:hint="eastAsia" w:ascii="Times New Roman" w:hAnsi="Times New Roman"/>
                <w:kern w:val="0"/>
              </w:rPr>
            </w:pPr>
          </w:p>
        </w:tc>
        <w:tc>
          <w:tcPr>
            <w:tcW w:w="711" w:type="pct"/>
            <w:shd w:val="clear" w:color="auto" w:fill="auto"/>
            <w:noWrap w:val="0"/>
            <w:vAlign w:val="top"/>
          </w:tcPr>
          <w:p w14:paraId="3C65266F">
            <w:pPr>
              <w:widowControl/>
              <w:rPr>
                <w:rFonts w:hint="eastAsia" w:ascii="Times New Roman" w:hAnsi="Times New Roman"/>
                <w:kern w:val="0"/>
              </w:rPr>
            </w:pPr>
          </w:p>
        </w:tc>
        <w:tc>
          <w:tcPr>
            <w:tcW w:w="673" w:type="pct"/>
            <w:shd w:val="clear" w:color="auto" w:fill="auto"/>
            <w:noWrap w:val="0"/>
            <w:vAlign w:val="top"/>
          </w:tcPr>
          <w:p w14:paraId="247FD9FD">
            <w:pPr>
              <w:widowControl/>
              <w:rPr>
                <w:rFonts w:hint="eastAsia" w:ascii="Times New Roman" w:hAnsi="Times New Roman"/>
                <w:kern w:val="0"/>
              </w:rPr>
            </w:pPr>
          </w:p>
        </w:tc>
      </w:tr>
      <w:tr w14:paraId="322E9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trPr>
        <w:tc>
          <w:tcPr>
            <w:tcW w:w="404" w:type="pct"/>
            <w:shd w:val="clear" w:color="auto" w:fill="auto"/>
            <w:noWrap w:val="0"/>
            <w:vAlign w:val="top"/>
          </w:tcPr>
          <w:p w14:paraId="7EF45D1B">
            <w:pPr>
              <w:widowControl/>
              <w:jc w:val="center"/>
              <w:rPr>
                <w:rFonts w:hint="eastAsia" w:ascii="Times New Roman" w:hAnsi="Times New Roman"/>
                <w:kern w:val="0"/>
              </w:rPr>
            </w:pPr>
            <w:r>
              <w:rPr>
                <w:rFonts w:hint="eastAsia" w:ascii="Times New Roman" w:hAnsi="Times New Roman"/>
                <w:kern w:val="0"/>
              </w:rPr>
              <w:t>4</w:t>
            </w:r>
          </w:p>
        </w:tc>
        <w:tc>
          <w:tcPr>
            <w:tcW w:w="1074" w:type="pct"/>
            <w:shd w:val="clear" w:color="auto" w:fill="auto"/>
            <w:noWrap w:val="0"/>
            <w:vAlign w:val="top"/>
          </w:tcPr>
          <w:p w14:paraId="63C0708D">
            <w:pPr>
              <w:widowControl/>
              <w:rPr>
                <w:rFonts w:hint="eastAsia" w:ascii="Times New Roman" w:hAnsi="Times New Roman"/>
                <w:kern w:val="0"/>
              </w:rPr>
            </w:pPr>
          </w:p>
        </w:tc>
        <w:tc>
          <w:tcPr>
            <w:tcW w:w="711" w:type="pct"/>
            <w:shd w:val="clear" w:color="auto" w:fill="auto"/>
            <w:noWrap w:val="0"/>
            <w:vAlign w:val="top"/>
          </w:tcPr>
          <w:p w14:paraId="31712019">
            <w:pPr>
              <w:widowControl/>
              <w:rPr>
                <w:rFonts w:hint="eastAsia" w:ascii="Times New Roman" w:hAnsi="Times New Roman"/>
                <w:kern w:val="0"/>
              </w:rPr>
            </w:pPr>
          </w:p>
        </w:tc>
        <w:tc>
          <w:tcPr>
            <w:tcW w:w="713" w:type="pct"/>
            <w:shd w:val="clear" w:color="auto" w:fill="auto"/>
            <w:noWrap w:val="0"/>
            <w:vAlign w:val="top"/>
          </w:tcPr>
          <w:p w14:paraId="3BB268A7">
            <w:pPr>
              <w:widowControl/>
              <w:rPr>
                <w:rFonts w:hint="eastAsia" w:ascii="Times New Roman" w:hAnsi="Times New Roman"/>
                <w:kern w:val="0"/>
              </w:rPr>
            </w:pPr>
          </w:p>
        </w:tc>
        <w:tc>
          <w:tcPr>
            <w:tcW w:w="711" w:type="pct"/>
            <w:shd w:val="clear" w:color="auto" w:fill="auto"/>
            <w:noWrap w:val="0"/>
            <w:vAlign w:val="top"/>
          </w:tcPr>
          <w:p w14:paraId="0B2A8899">
            <w:pPr>
              <w:widowControl/>
              <w:rPr>
                <w:rFonts w:hint="eastAsia" w:ascii="Times New Roman" w:hAnsi="Times New Roman"/>
                <w:kern w:val="0"/>
              </w:rPr>
            </w:pPr>
          </w:p>
        </w:tc>
        <w:tc>
          <w:tcPr>
            <w:tcW w:w="711" w:type="pct"/>
            <w:shd w:val="clear" w:color="auto" w:fill="auto"/>
            <w:noWrap w:val="0"/>
            <w:vAlign w:val="top"/>
          </w:tcPr>
          <w:p w14:paraId="0D61B540">
            <w:pPr>
              <w:widowControl/>
              <w:rPr>
                <w:rFonts w:hint="eastAsia" w:ascii="Times New Roman" w:hAnsi="Times New Roman"/>
                <w:kern w:val="0"/>
              </w:rPr>
            </w:pPr>
          </w:p>
        </w:tc>
        <w:tc>
          <w:tcPr>
            <w:tcW w:w="673" w:type="pct"/>
            <w:shd w:val="clear" w:color="auto" w:fill="auto"/>
            <w:noWrap w:val="0"/>
            <w:vAlign w:val="top"/>
          </w:tcPr>
          <w:p w14:paraId="2FC59041">
            <w:pPr>
              <w:widowControl/>
              <w:rPr>
                <w:rFonts w:hint="eastAsia" w:ascii="Times New Roman" w:hAnsi="Times New Roman"/>
                <w:kern w:val="0"/>
              </w:rPr>
            </w:pPr>
          </w:p>
        </w:tc>
      </w:tr>
      <w:tr w14:paraId="2E6E9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trPr>
        <w:tc>
          <w:tcPr>
            <w:tcW w:w="404" w:type="pct"/>
            <w:shd w:val="clear" w:color="auto" w:fill="auto"/>
            <w:noWrap w:val="0"/>
            <w:vAlign w:val="top"/>
          </w:tcPr>
          <w:p w14:paraId="2D8773D7">
            <w:pPr>
              <w:widowControl/>
              <w:jc w:val="center"/>
              <w:rPr>
                <w:rFonts w:hint="eastAsia" w:ascii="Times New Roman" w:hAnsi="Times New Roman"/>
                <w:kern w:val="0"/>
              </w:rPr>
            </w:pPr>
            <w:r>
              <w:rPr>
                <w:rFonts w:hint="eastAsia" w:ascii="Times New Roman" w:hAnsi="Times New Roman"/>
                <w:kern w:val="0"/>
              </w:rPr>
              <w:t>5</w:t>
            </w:r>
          </w:p>
        </w:tc>
        <w:tc>
          <w:tcPr>
            <w:tcW w:w="1074" w:type="pct"/>
            <w:shd w:val="clear" w:color="auto" w:fill="auto"/>
            <w:noWrap w:val="0"/>
            <w:vAlign w:val="top"/>
          </w:tcPr>
          <w:p w14:paraId="10D617D0">
            <w:pPr>
              <w:widowControl/>
              <w:rPr>
                <w:rFonts w:hint="eastAsia" w:ascii="Times New Roman" w:hAnsi="Times New Roman"/>
                <w:kern w:val="0"/>
              </w:rPr>
            </w:pPr>
          </w:p>
        </w:tc>
        <w:tc>
          <w:tcPr>
            <w:tcW w:w="711" w:type="pct"/>
            <w:shd w:val="clear" w:color="auto" w:fill="auto"/>
            <w:noWrap w:val="0"/>
            <w:vAlign w:val="top"/>
          </w:tcPr>
          <w:p w14:paraId="6CF50C86">
            <w:pPr>
              <w:widowControl/>
              <w:rPr>
                <w:rFonts w:hint="eastAsia" w:ascii="Times New Roman" w:hAnsi="Times New Roman"/>
                <w:kern w:val="0"/>
              </w:rPr>
            </w:pPr>
          </w:p>
        </w:tc>
        <w:tc>
          <w:tcPr>
            <w:tcW w:w="713" w:type="pct"/>
            <w:shd w:val="clear" w:color="auto" w:fill="auto"/>
            <w:noWrap w:val="0"/>
            <w:vAlign w:val="top"/>
          </w:tcPr>
          <w:p w14:paraId="125A79DD">
            <w:pPr>
              <w:widowControl/>
              <w:rPr>
                <w:rFonts w:hint="eastAsia" w:ascii="Times New Roman" w:hAnsi="Times New Roman"/>
                <w:kern w:val="0"/>
              </w:rPr>
            </w:pPr>
          </w:p>
        </w:tc>
        <w:tc>
          <w:tcPr>
            <w:tcW w:w="711" w:type="pct"/>
            <w:shd w:val="clear" w:color="auto" w:fill="auto"/>
            <w:noWrap w:val="0"/>
            <w:vAlign w:val="top"/>
          </w:tcPr>
          <w:p w14:paraId="27BCC5CE">
            <w:pPr>
              <w:widowControl/>
              <w:rPr>
                <w:rFonts w:hint="eastAsia" w:ascii="Times New Roman" w:hAnsi="Times New Roman"/>
                <w:kern w:val="0"/>
              </w:rPr>
            </w:pPr>
          </w:p>
        </w:tc>
        <w:tc>
          <w:tcPr>
            <w:tcW w:w="711" w:type="pct"/>
            <w:shd w:val="clear" w:color="auto" w:fill="auto"/>
            <w:noWrap w:val="0"/>
            <w:vAlign w:val="top"/>
          </w:tcPr>
          <w:p w14:paraId="2801B67A">
            <w:pPr>
              <w:widowControl/>
              <w:rPr>
                <w:rFonts w:hint="eastAsia" w:ascii="Times New Roman" w:hAnsi="Times New Roman"/>
                <w:kern w:val="0"/>
              </w:rPr>
            </w:pPr>
          </w:p>
        </w:tc>
        <w:tc>
          <w:tcPr>
            <w:tcW w:w="673" w:type="pct"/>
            <w:shd w:val="clear" w:color="auto" w:fill="auto"/>
            <w:noWrap w:val="0"/>
            <w:vAlign w:val="top"/>
          </w:tcPr>
          <w:p w14:paraId="3DF2EB12">
            <w:pPr>
              <w:widowControl/>
              <w:rPr>
                <w:rFonts w:hint="eastAsia" w:ascii="Times New Roman" w:hAnsi="Times New Roman"/>
                <w:kern w:val="0"/>
              </w:rPr>
            </w:pPr>
          </w:p>
        </w:tc>
      </w:tr>
      <w:tr w14:paraId="0449E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trPr>
        <w:tc>
          <w:tcPr>
            <w:tcW w:w="404" w:type="pct"/>
            <w:shd w:val="clear" w:color="auto" w:fill="auto"/>
            <w:noWrap w:val="0"/>
            <w:vAlign w:val="top"/>
          </w:tcPr>
          <w:p w14:paraId="17378064">
            <w:pPr>
              <w:widowControl/>
              <w:jc w:val="center"/>
              <w:rPr>
                <w:rFonts w:hint="eastAsia" w:ascii="Times New Roman" w:hAnsi="Times New Roman"/>
                <w:kern w:val="0"/>
              </w:rPr>
            </w:pPr>
            <w:r>
              <w:rPr>
                <w:rFonts w:hint="eastAsia" w:ascii="Times New Roman" w:hAnsi="Times New Roman"/>
                <w:kern w:val="0"/>
              </w:rPr>
              <w:t>6</w:t>
            </w:r>
          </w:p>
        </w:tc>
        <w:tc>
          <w:tcPr>
            <w:tcW w:w="1074" w:type="pct"/>
            <w:shd w:val="clear" w:color="auto" w:fill="auto"/>
            <w:noWrap w:val="0"/>
            <w:vAlign w:val="top"/>
          </w:tcPr>
          <w:p w14:paraId="1FA7D106">
            <w:pPr>
              <w:widowControl/>
              <w:rPr>
                <w:rFonts w:hint="eastAsia" w:ascii="Times New Roman" w:hAnsi="Times New Roman"/>
                <w:kern w:val="0"/>
              </w:rPr>
            </w:pPr>
          </w:p>
        </w:tc>
        <w:tc>
          <w:tcPr>
            <w:tcW w:w="711" w:type="pct"/>
            <w:shd w:val="clear" w:color="auto" w:fill="auto"/>
            <w:noWrap w:val="0"/>
            <w:vAlign w:val="top"/>
          </w:tcPr>
          <w:p w14:paraId="3F2D0D54">
            <w:pPr>
              <w:widowControl/>
              <w:rPr>
                <w:rFonts w:hint="eastAsia" w:ascii="Times New Roman" w:hAnsi="Times New Roman"/>
                <w:kern w:val="0"/>
              </w:rPr>
            </w:pPr>
          </w:p>
        </w:tc>
        <w:tc>
          <w:tcPr>
            <w:tcW w:w="713" w:type="pct"/>
            <w:shd w:val="clear" w:color="auto" w:fill="auto"/>
            <w:noWrap w:val="0"/>
            <w:vAlign w:val="top"/>
          </w:tcPr>
          <w:p w14:paraId="1A564059">
            <w:pPr>
              <w:widowControl/>
              <w:rPr>
                <w:rFonts w:hint="eastAsia" w:ascii="Times New Roman" w:hAnsi="Times New Roman"/>
                <w:kern w:val="0"/>
              </w:rPr>
            </w:pPr>
          </w:p>
        </w:tc>
        <w:tc>
          <w:tcPr>
            <w:tcW w:w="711" w:type="pct"/>
            <w:shd w:val="clear" w:color="auto" w:fill="auto"/>
            <w:noWrap w:val="0"/>
            <w:vAlign w:val="top"/>
          </w:tcPr>
          <w:p w14:paraId="30F6B8CC">
            <w:pPr>
              <w:widowControl/>
              <w:rPr>
                <w:rFonts w:hint="eastAsia" w:ascii="Times New Roman" w:hAnsi="Times New Roman"/>
                <w:kern w:val="0"/>
              </w:rPr>
            </w:pPr>
          </w:p>
        </w:tc>
        <w:tc>
          <w:tcPr>
            <w:tcW w:w="711" w:type="pct"/>
            <w:shd w:val="clear" w:color="auto" w:fill="auto"/>
            <w:noWrap w:val="0"/>
            <w:vAlign w:val="top"/>
          </w:tcPr>
          <w:p w14:paraId="1618E10D">
            <w:pPr>
              <w:widowControl/>
              <w:rPr>
                <w:rFonts w:hint="eastAsia" w:ascii="Times New Roman" w:hAnsi="Times New Roman"/>
                <w:kern w:val="0"/>
              </w:rPr>
            </w:pPr>
          </w:p>
        </w:tc>
        <w:tc>
          <w:tcPr>
            <w:tcW w:w="673" w:type="pct"/>
            <w:shd w:val="clear" w:color="auto" w:fill="auto"/>
            <w:noWrap w:val="0"/>
            <w:vAlign w:val="top"/>
          </w:tcPr>
          <w:p w14:paraId="368E6B95">
            <w:pPr>
              <w:widowControl/>
              <w:rPr>
                <w:rFonts w:hint="eastAsia" w:ascii="Times New Roman" w:hAnsi="Times New Roman"/>
                <w:kern w:val="0"/>
              </w:rPr>
            </w:pPr>
          </w:p>
        </w:tc>
      </w:tr>
      <w:tr w14:paraId="4B363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trPr>
        <w:tc>
          <w:tcPr>
            <w:tcW w:w="404" w:type="pct"/>
            <w:shd w:val="clear" w:color="auto" w:fill="auto"/>
            <w:noWrap w:val="0"/>
            <w:vAlign w:val="top"/>
          </w:tcPr>
          <w:p w14:paraId="784472B2">
            <w:pPr>
              <w:widowControl/>
              <w:jc w:val="center"/>
              <w:rPr>
                <w:rFonts w:hint="eastAsia" w:ascii="Times New Roman" w:hAnsi="Times New Roman"/>
                <w:kern w:val="0"/>
              </w:rPr>
            </w:pPr>
            <w:r>
              <w:rPr>
                <w:rFonts w:hint="eastAsia" w:ascii="Times New Roman" w:hAnsi="Times New Roman"/>
                <w:kern w:val="0"/>
              </w:rPr>
              <w:t>7</w:t>
            </w:r>
          </w:p>
        </w:tc>
        <w:tc>
          <w:tcPr>
            <w:tcW w:w="1074" w:type="pct"/>
            <w:shd w:val="clear" w:color="auto" w:fill="auto"/>
            <w:noWrap w:val="0"/>
            <w:vAlign w:val="top"/>
          </w:tcPr>
          <w:p w14:paraId="3D967F93">
            <w:pPr>
              <w:widowControl/>
              <w:rPr>
                <w:rFonts w:hint="eastAsia" w:ascii="Times New Roman" w:hAnsi="Times New Roman"/>
                <w:kern w:val="0"/>
              </w:rPr>
            </w:pPr>
          </w:p>
        </w:tc>
        <w:tc>
          <w:tcPr>
            <w:tcW w:w="711" w:type="pct"/>
            <w:shd w:val="clear" w:color="auto" w:fill="auto"/>
            <w:noWrap w:val="0"/>
            <w:vAlign w:val="top"/>
          </w:tcPr>
          <w:p w14:paraId="67CC53EA">
            <w:pPr>
              <w:widowControl/>
              <w:rPr>
                <w:rFonts w:hint="eastAsia" w:ascii="Times New Roman" w:hAnsi="Times New Roman"/>
                <w:kern w:val="0"/>
              </w:rPr>
            </w:pPr>
          </w:p>
        </w:tc>
        <w:tc>
          <w:tcPr>
            <w:tcW w:w="713" w:type="pct"/>
            <w:shd w:val="clear" w:color="auto" w:fill="auto"/>
            <w:noWrap w:val="0"/>
            <w:vAlign w:val="top"/>
          </w:tcPr>
          <w:p w14:paraId="45D6409F">
            <w:pPr>
              <w:widowControl/>
              <w:rPr>
                <w:rFonts w:hint="eastAsia" w:ascii="Times New Roman" w:hAnsi="Times New Roman"/>
                <w:kern w:val="0"/>
              </w:rPr>
            </w:pPr>
          </w:p>
        </w:tc>
        <w:tc>
          <w:tcPr>
            <w:tcW w:w="711" w:type="pct"/>
            <w:shd w:val="clear" w:color="auto" w:fill="auto"/>
            <w:noWrap w:val="0"/>
            <w:vAlign w:val="top"/>
          </w:tcPr>
          <w:p w14:paraId="0B242779">
            <w:pPr>
              <w:widowControl/>
              <w:rPr>
                <w:rFonts w:hint="eastAsia" w:ascii="Times New Roman" w:hAnsi="Times New Roman"/>
                <w:kern w:val="0"/>
              </w:rPr>
            </w:pPr>
          </w:p>
        </w:tc>
        <w:tc>
          <w:tcPr>
            <w:tcW w:w="711" w:type="pct"/>
            <w:shd w:val="clear" w:color="auto" w:fill="auto"/>
            <w:noWrap w:val="0"/>
            <w:vAlign w:val="top"/>
          </w:tcPr>
          <w:p w14:paraId="3DDF168F">
            <w:pPr>
              <w:widowControl/>
              <w:rPr>
                <w:rFonts w:hint="eastAsia" w:ascii="Times New Roman" w:hAnsi="Times New Roman"/>
                <w:kern w:val="0"/>
              </w:rPr>
            </w:pPr>
          </w:p>
        </w:tc>
        <w:tc>
          <w:tcPr>
            <w:tcW w:w="673" w:type="pct"/>
            <w:shd w:val="clear" w:color="auto" w:fill="auto"/>
            <w:noWrap w:val="0"/>
            <w:vAlign w:val="top"/>
          </w:tcPr>
          <w:p w14:paraId="1FBD7370">
            <w:pPr>
              <w:widowControl/>
              <w:rPr>
                <w:rFonts w:hint="eastAsia" w:ascii="Times New Roman" w:hAnsi="Times New Roman"/>
                <w:kern w:val="0"/>
              </w:rPr>
            </w:pPr>
          </w:p>
        </w:tc>
      </w:tr>
      <w:tr w14:paraId="1832C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trPr>
        <w:tc>
          <w:tcPr>
            <w:tcW w:w="404" w:type="pct"/>
            <w:shd w:val="clear" w:color="auto" w:fill="auto"/>
            <w:noWrap w:val="0"/>
            <w:vAlign w:val="top"/>
          </w:tcPr>
          <w:p w14:paraId="43135F7A">
            <w:pPr>
              <w:widowControl/>
              <w:jc w:val="center"/>
              <w:rPr>
                <w:rFonts w:hint="eastAsia" w:ascii="Times New Roman" w:hAnsi="Times New Roman"/>
                <w:kern w:val="0"/>
              </w:rPr>
            </w:pPr>
            <w:r>
              <w:rPr>
                <w:rFonts w:hint="eastAsia" w:ascii="Times New Roman" w:hAnsi="Times New Roman"/>
                <w:kern w:val="0"/>
              </w:rPr>
              <w:t>8</w:t>
            </w:r>
          </w:p>
        </w:tc>
        <w:tc>
          <w:tcPr>
            <w:tcW w:w="1074" w:type="pct"/>
            <w:shd w:val="clear" w:color="auto" w:fill="auto"/>
            <w:noWrap w:val="0"/>
            <w:vAlign w:val="top"/>
          </w:tcPr>
          <w:p w14:paraId="7A45231E">
            <w:pPr>
              <w:widowControl/>
              <w:rPr>
                <w:rFonts w:hint="eastAsia" w:ascii="Times New Roman" w:hAnsi="Times New Roman"/>
                <w:kern w:val="0"/>
              </w:rPr>
            </w:pPr>
          </w:p>
        </w:tc>
        <w:tc>
          <w:tcPr>
            <w:tcW w:w="711" w:type="pct"/>
            <w:shd w:val="clear" w:color="auto" w:fill="auto"/>
            <w:noWrap w:val="0"/>
            <w:vAlign w:val="top"/>
          </w:tcPr>
          <w:p w14:paraId="7EE72537">
            <w:pPr>
              <w:widowControl/>
              <w:rPr>
                <w:rFonts w:hint="eastAsia" w:ascii="Times New Roman" w:hAnsi="Times New Roman"/>
                <w:kern w:val="0"/>
              </w:rPr>
            </w:pPr>
          </w:p>
        </w:tc>
        <w:tc>
          <w:tcPr>
            <w:tcW w:w="713" w:type="pct"/>
            <w:shd w:val="clear" w:color="auto" w:fill="auto"/>
            <w:noWrap w:val="0"/>
            <w:vAlign w:val="top"/>
          </w:tcPr>
          <w:p w14:paraId="2CFECEA4">
            <w:pPr>
              <w:widowControl/>
              <w:rPr>
                <w:rFonts w:hint="eastAsia" w:ascii="Times New Roman" w:hAnsi="Times New Roman"/>
                <w:kern w:val="0"/>
              </w:rPr>
            </w:pPr>
          </w:p>
        </w:tc>
        <w:tc>
          <w:tcPr>
            <w:tcW w:w="711" w:type="pct"/>
            <w:shd w:val="clear" w:color="auto" w:fill="auto"/>
            <w:noWrap w:val="0"/>
            <w:vAlign w:val="top"/>
          </w:tcPr>
          <w:p w14:paraId="689C2BFA">
            <w:pPr>
              <w:widowControl/>
              <w:rPr>
                <w:rFonts w:hint="eastAsia" w:ascii="Times New Roman" w:hAnsi="Times New Roman"/>
                <w:kern w:val="0"/>
              </w:rPr>
            </w:pPr>
          </w:p>
        </w:tc>
        <w:tc>
          <w:tcPr>
            <w:tcW w:w="711" w:type="pct"/>
            <w:shd w:val="clear" w:color="auto" w:fill="auto"/>
            <w:noWrap w:val="0"/>
            <w:vAlign w:val="top"/>
          </w:tcPr>
          <w:p w14:paraId="61909EFE">
            <w:pPr>
              <w:widowControl/>
              <w:rPr>
                <w:rFonts w:hint="eastAsia" w:ascii="Times New Roman" w:hAnsi="Times New Roman"/>
                <w:kern w:val="0"/>
              </w:rPr>
            </w:pPr>
          </w:p>
        </w:tc>
        <w:tc>
          <w:tcPr>
            <w:tcW w:w="673" w:type="pct"/>
            <w:shd w:val="clear" w:color="auto" w:fill="auto"/>
            <w:noWrap w:val="0"/>
            <w:vAlign w:val="top"/>
          </w:tcPr>
          <w:p w14:paraId="4D732967">
            <w:pPr>
              <w:widowControl/>
              <w:rPr>
                <w:rFonts w:hint="eastAsia" w:ascii="Times New Roman" w:hAnsi="Times New Roman"/>
                <w:kern w:val="0"/>
              </w:rPr>
            </w:pPr>
          </w:p>
        </w:tc>
      </w:tr>
      <w:tr w14:paraId="64C1E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trPr>
        <w:tc>
          <w:tcPr>
            <w:tcW w:w="404" w:type="pct"/>
            <w:shd w:val="clear" w:color="auto" w:fill="auto"/>
            <w:noWrap w:val="0"/>
            <w:vAlign w:val="top"/>
          </w:tcPr>
          <w:p w14:paraId="0A5EDDD2">
            <w:pPr>
              <w:widowControl/>
              <w:jc w:val="center"/>
              <w:rPr>
                <w:rFonts w:hint="eastAsia" w:ascii="Times New Roman" w:hAnsi="Times New Roman"/>
                <w:kern w:val="0"/>
              </w:rPr>
            </w:pPr>
            <w:r>
              <w:rPr>
                <w:rFonts w:hint="eastAsia" w:ascii="Times New Roman" w:hAnsi="Times New Roman"/>
                <w:kern w:val="0"/>
              </w:rPr>
              <w:t>9</w:t>
            </w:r>
          </w:p>
        </w:tc>
        <w:tc>
          <w:tcPr>
            <w:tcW w:w="1074" w:type="pct"/>
            <w:shd w:val="clear" w:color="auto" w:fill="auto"/>
            <w:noWrap w:val="0"/>
            <w:vAlign w:val="top"/>
          </w:tcPr>
          <w:p w14:paraId="0C8F3A4C">
            <w:pPr>
              <w:widowControl/>
              <w:rPr>
                <w:rFonts w:hint="eastAsia" w:ascii="Times New Roman" w:hAnsi="Times New Roman"/>
                <w:kern w:val="0"/>
              </w:rPr>
            </w:pPr>
          </w:p>
        </w:tc>
        <w:tc>
          <w:tcPr>
            <w:tcW w:w="711" w:type="pct"/>
            <w:shd w:val="clear" w:color="auto" w:fill="auto"/>
            <w:noWrap w:val="0"/>
            <w:vAlign w:val="top"/>
          </w:tcPr>
          <w:p w14:paraId="300C441A">
            <w:pPr>
              <w:widowControl/>
              <w:rPr>
                <w:rFonts w:hint="eastAsia" w:ascii="Times New Roman" w:hAnsi="Times New Roman"/>
                <w:kern w:val="0"/>
              </w:rPr>
            </w:pPr>
          </w:p>
        </w:tc>
        <w:tc>
          <w:tcPr>
            <w:tcW w:w="713" w:type="pct"/>
            <w:shd w:val="clear" w:color="auto" w:fill="auto"/>
            <w:noWrap w:val="0"/>
            <w:vAlign w:val="top"/>
          </w:tcPr>
          <w:p w14:paraId="1510647D">
            <w:pPr>
              <w:widowControl/>
              <w:rPr>
                <w:rFonts w:hint="eastAsia" w:ascii="Times New Roman" w:hAnsi="Times New Roman"/>
                <w:kern w:val="0"/>
              </w:rPr>
            </w:pPr>
          </w:p>
        </w:tc>
        <w:tc>
          <w:tcPr>
            <w:tcW w:w="711" w:type="pct"/>
            <w:shd w:val="clear" w:color="auto" w:fill="auto"/>
            <w:noWrap w:val="0"/>
            <w:vAlign w:val="top"/>
          </w:tcPr>
          <w:p w14:paraId="3CF75720">
            <w:pPr>
              <w:widowControl/>
              <w:rPr>
                <w:rFonts w:hint="eastAsia" w:ascii="Times New Roman" w:hAnsi="Times New Roman"/>
                <w:kern w:val="0"/>
              </w:rPr>
            </w:pPr>
          </w:p>
        </w:tc>
        <w:tc>
          <w:tcPr>
            <w:tcW w:w="711" w:type="pct"/>
            <w:shd w:val="clear" w:color="auto" w:fill="auto"/>
            <w:noWrap w:val="0"/>
            <w:vAlign w:val="top"/>
          </w:tcPr>
          <w:p w14:paraId="4BE33BEE">
            <w:pPr>
              <w:widowControl/>
              <w:rPr>
                <w:rFonts w:hint="eastAsia" w:ascii="Times New Roman" w:hAnsi="Times New Roman"/>
                <w:kern w:val="0"/>
              </w:rPr>
            </w:pPr>
          </w:p>
        </w:tc>
        <w:tc>
          <w:tcPr>
            <w:tcW w:w="673" w:type="pct"/>
            <w:shd w:val="clear" w:color="auto" w:fill="auto"/>
            <w:noWrap w:val="0"/>
            <w:vAlign w:val="top"/>
          </w:tcPr>
          <w:p w14:paraId="082F2850">
            <w:pPr>
              <w:widowControl/>
              <w:rPr>
                <w:rFonts w:hint="eastAsia" w:ascii="Times New Roman" w:hAnsi="Times New Roman"/>
                <w:kern w:val="0"/>
              </w:rPr>
            </w:pPr>
          </w:p>
        </w:tc>
      </w:tr>
      <w:tr w14:paraId="3C95B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trPr>
        <w:tc>
          <w:tcPr>
            <w:tcW w:w="404" w:type="pct"/>
            <w:shd w:val="clear" w:color="auto" w:fill="auto"/>
            <w:noWrap w:val="0"/>
            <w:vAlign w:val="top"/>
          </w:tcPr>
          <w:p w14:paraId="5B054472">
            <w:pPr>
              <w:widowControl/>
              <w:jc w:val="center"/>
              <w:rPr>
                <w:rFonts w:hint="eastAsia" w:ascii="Times New Roman" w:hAnsi="Times New Roman"/>
                <w:kern w:val="0"/>
              </w:rPr>
            </w:pPr>
            <w:r>
              <w:rPr>
                <w:rFonts w:hint="eastAsia" w:ascii="Times New Roman" w:hAnsi="Times New Roman"/>
                <w:kern w:val="0"/>
              </w:rPr>
              <w:t>...</w:t>
            </w:r>
          </w:p>
        </w:tc>
        <w:tc>
          <w:tcPr>
            <w:tcW w:w="1074" w:type="pct"/>
            <w:shd w:val="clear" w:color="auto" w:fill="auto"/>
            <w:noWrap w:val="0"/>
            <w:vAlign w:val="top"/>
          </w:tcPr>
          <w:p w14:paraId="1312CD06">
            <w:pPr>
              <w:widowControl/>
              <w:rPr>
                <w:rFonts w:hint="eastAsia" w:ascii="Times New Roman" w:hAnsi="Times New Roman"/>
                <w:kern w:val="0"/>
              </w:rPr>
            </w:pPr>
          </w:p>
        </w:tc>
        <w:tc>
          <w:tcPr>
            <w:tcW w:w="711" w:type="pct"/>
            <w:shd w:val="clear" w:color="auto" w:fill="auto"/>
            <w:noWrap w:val="0"/>
            <w:vAlign w:val="top"/>
          </w:tcPr>
          <w:p w14:paraId="386BC578">
            <w:pPr>
              <w:widowControl/>
              <w:rPr>
                <w:rFonts w:hint="eastAsia" w:ascii="Times New Roman" w:hAnsi="Times New Roman"/>
                <w:kern w:val="0"/>
              </w:rPr>
            </w:pPr>
          </w:p>
        </w:tc>
        <w:tc>
          <w:tcPr>
            <w:tcW w:w="713" w:type="pct"/>
            <w:shd w:val="clear" w:color="auto" w:fill="auto"/>
            <w:noWrap w:val="0"/>
            <w:vAlign w:val="top"/>
          </w:tcPr>
          <w:p w14:paraId="7C50DC65">
            <w:pPr>
              <w:widowControl/>
              <w:rPr>
                <w:rFonts w:hint="eastAsia" w:ascii="Times New Roman" w:hAnsi="Times New Roman"/>
                <w:kern w:val="0"/>
              </w:rPr>
            </w:pPr>
          </w:p>
        </w:tc>
        <w:tc>
          <w:tcPr>
            <w:tcW w:w="711" w:type="pct"/>
            <w:shd w:val="clear" w:color="auto" w:fill="auto"/>
            <w:noWrap w:val="0"/>
            <w:vAlign w:val="top"/>
          </w:tcPr>
          <w:p w14:paraId="1605FF8A">
            <w:pPr>
              <w:widowControl/>
              <w:rPr>
                <w:rFonts w:hint="eastAsia" w:ascii="Times New Roman" w:hAnsi="Times New Roman"/>
                <w:kern w:val="0"/>
              </w:rPr>
            </w:pPr>
          </w:p>
        </w:tc>
        <w:tc>
          <w:tcPr>
            <w:tcW w:w="711" w:type="pct"/>
            <w:shd w:val="clear" w:color="auto" w:fill="auto"/>
            <w:noWrap w:val="0"/>
            <w:vAlign w:val="top"/>
          </w:tcPr>
          <w:p w14:paraId="396CF9D3">
            <w:pPr>
              <w:widowControl/>
              <w:rPr>
                <w:rFonts w:hint="eastAsia" w:ascii="Times New Roman" w:hAnsi="Times New Roman"/>
                <w:kern w:val="0"/>
              </w:rPr>
            </w:pPr>
          </w:p>
        </w:tc>
        <w:tc>
          <w:tcPr>
            <w:tcW w:w="673" w:type="pct"/>
            <w:shd w:val="clear" w:color="auto" w:fill="auto"/>
            <w:noWrap w:val="0"/>
            <w:vAlign w:val="top"/>
          </w:tcPr>
          <w:p w14:paraId="33F07C5A">
            <w:pPr>
              <w:widowControl/>
              <w:rPr>
                <w:rFonts w:hint="eastAsia" w:ascii="Times New Roman" w:hAnsi="Times New Roman"/>
                <w:kern w:val="0"/>
              </w:rPr>
            </w:pPr>
          </w:p>
        </w:tc>
      </w:tr>
      <w:tr w14:paraId="44973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trPr>
        <w:tc>
          <w:tcPr>
            <w:tcW w:w="2904" w:type="pct"/>
            <w:gridSpan w:val="4"/>
            <w:shd w:val="clear" w:color="auto" w:fill="auto"/>
            <w:noWrap w:val="0"/>
            <w:vAlign w:val="top"/>
          </w:tcPr>
          <w:p w14:paraId="5892E549">
            <w:pPr>
              <w:spacing w:line="280" w:lineRule="exact"/>
              <w:jc w:val="right"/>
              <w:rPr>
                <w:rFonts w:hint="eastAsia" w:ascii="Times New Roman" w:hAnsi="Times New Roman"/>
                <w:kern w:val="0"/>
              </w:rPr>
            </w:pPr>
            <w:r>
              <w:rPr>
                <w:rFonts w:hint="eastAsia" w:ascii="Times New Roman" w:hAnsi="Times New Roman" w:cs="宋体"/>
                <w:b/>
                <w:bCs/>
                <w:szCs w:val="21"/>
              </w:rPr>
              <w:t>本人签字</w:t>
            </w:r>
          </w:p>
        </w:tc>
        <w:tc>
          <w:tcPr>
            <w:tcW w:w="711" w:type="pct"/>
            <w:shd w:val="clear" w:color="auto" w:fill="auto"/>
            <w:noWrap w:val="0"/>
            <w:vAlign w:val="top"/>
          </w:tcPr>
          <w:p w14:paraId="4ED9B388">
            <w:pPr>
              <w:widowControl/>
              <w:rPr>
                <w:rFonts w:hint="eastAsia" w:ascii="Times New Roman" w:hAnsi="Times New Roman"/>
                <w:kern w:val="0"/>
              </w:rPr>
            </w:pPr>
          </w:p>
        </w:tc>
        <w:tc>
          <w:tcPr>
            <w:tcW w:w="711" w:type="pct"/>
            <w:shd w:val="clear" w:color="auto" w:fill="auto"/>
            <w:noWrap w:val="0"/>
            <w:vAlign w:val="top"/>
          </w:tcPr>
          <w:p w14:paraId="094866CE">
            <w:pPr>
              <w:spacing w:line="280" w:lineRule="exact"/>
              <w:jc w:val="center"/>
              <w:rPr>
                <w:rFonts w:hint="eastAsia" w:ascii="Times New Roman" w:hAnsi="Times New Roman"/>
                <w:kern w:val="0"/>
              </w:rPr>
            </w:pPr>
            <w:r>
              <w:rPr>
                <w:rFonts w:hint="eastAsia" w:ascii="Times New Roman" w:hAnsi="Times New Roman" w:cs="宋体"/>
                <w:b/>
                <w:bCs/>
                <w:szCs w:val="21"/>
              </w:rPr>
              <w:t>日期</w:t>
            </w:r>
          </w:p>
        </w:tc>
        <w:tc>
          <w:tcPr>
            <w:tcW w:w="673" w:type="pct"/>
            <w:shd w:val="clear" w:color="auto" w:fill="auto"/>
            <w:noWrap w:val="0"/>
            <w:vAlign w:val="top"/>
          </w:tcPr>
          <w:p w14:paraId="57046278">
            <w:pPr>
              <w:widowControl/>
              <w:rPr>
                <w:rFonts w:hint="eastAsia" w:ascii="Times New Roman" w:hAnsi="Times New Roman"/>
                <w:kern w:val="0"/>
              </w:rPr>
            </w:pPr>
          </w:p>
        </w:tc>
      </w:tr>
      <w:tr w14:paraId="39720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trPr>
        <w:tc>
          <w:tcPr>
            <w:tcW w:w="2904" w:type="pct"/>
            <w:gridSpan w:val="4"/>
            <w:shd w:val="clear" w:color="auto" w:fill="auto"/>
            <w:noWrap w:val="0"/>
            <w:vAlign w:val="top"/>
          </w:tcPr>
          <w:p w14:paraId="5C289776">
            <w:pPr>
              <w:spacing w:line="280" w:lineRule="exact"/>
              <w:jc w:val="right"/>
              <w:rPr>
                <w:rFonts w:hint="eastAsia" w:ascii="Times New Roman" w:hAnsi="Times New Roman"/>
                <w:kern w:val="0"/>
              </w:rPr>
            </w:pPr>
            <w:r>
              <w:rPr>
                <w:rFonts w:hint="eastAsia" w:ascii="Times New Roman" w:hAnsi="Times New Roman" w:cs="宋体"/>
                <w:b/>
                <w:bCs/>
                <w:szCs w:val="21"/>
              </w:rPr>
              <w:t>评价项目负责人签字</w:t>
            </w:r>
          </w:p>
        </w:tc>
        <w:tc>
          <w:tcPr>
            <w:tcW w:w="711" w:type="pct"/>
            <w:shd w:val="clear" w:color="auto" w:fill="auto"/>
            <w:noWrap w:val="0"/>
            <w:vAlign w:val="top"/>
          </w:tcPr>
          <w:p w14:paraId="5EC07F04">
            <w:pPr>
              <w:widowControl/>
              <w:rPr>
                <w:rFonts w:hint="eastAsia" w:ascii="Times New Roman" w:hAnsi="Times New Roman"/>
                <w:kern w:val="0"/>
              </w:rPr>
            </w:pPr>
          </w:p>
        </w:tc>
        <w:tc>
          <w:tcPr>
            <w:tcW w:w="711" w:type="pct"/>
            <w:shd w:val="clear" w:color="auto" w:fill="auto"/>
            <w:noWrap w:val="0"/>
            <w:vAlign w:val="top"/>
          </w:tcPr>
          <w:p w14:paraId="169BAD05">
            <w:pPr>
              <w:spacing w:line="280" w:lineRule="exact"/>
              <w:jc w:val="center"/>
              <w:rPr>
                <w:rFonts w:hint="eastAsia" w:ascii="Times New Roman" w:hAnsi="Times New Roman"/>
                <w:kern w:val="0"/>
              </w:rPr>
            </w:pPr>
            <w:r>
              <w:rPr>
                <w:rFonts w:hint="eastAsia" w:ascii="Times New Roman" w:hAnsi="Times New Roman"/>
                <w:b/>
                <w:bCs/>
                <w:szCs w:val="21"/>
              </w:rPr>
              <w:t>日期</w:t>
            </w:r>
          </w:p>
        </w:tc>
        <w:tc>
          <w:tcPr>
            <w:tcW w:w="673" w:type="pct"/>
            <w:shd w:val="clear" w:color="auto" w:fill="auto"/>
            <w:noWrap w:val="0"/>
            <w:vAlign w:val="top"/>
          </w:tcPr>
          <w:p w14:paraId="75C05366">
            <w:pPr>
              <w:widowControl/>
              <w:rPr>
                <w:rFonts w:hint="eastAsia" w:ascii="Times New Roman" w:hAnsi="Times New Roman"/>
                <w:kern w:val="0"/>
              </w:rPr>
            </w:pPr>
          </w:p>
        </w:tc>
      </w:tr>
      <w:tr w14:paraId="45E7F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trPr>
        <w:tc>
          <w:tcPr>
            <w:tcW w:w="2904" w:type="pct"/>
            <w:gridSpan w:val="4"/>
            <w:shd w:val="clear" w:color="auto" w:fill="auto"/>
            <w:noWrap w:val="0"/>
            <w:vAlign w:val="top"/>
          </w:tcPr>
          <w:p w14:paraId="4351CB07">
            <w:pPr>
              <w:spacing w:line="280" w:lineRule="exact"/>
              <w:jc w:val="right"/>
              <w:rPr>
                <w:rFonts w:hint="eastAsia" w:ascii="Times New Roman" w:hAnsi="Times New Roman"/>
                <w:kern w:val="0"/>
              </w:rPr>
            </w:pPr>
            <w:r>
              <w:rPr>
                <w:rFonts w:hint="eastAsia" w:ascii="Times New Roman" w:hAnsi="Times New Roman" w:cs="宋体"/>
                <w:b/>
                <w:bCs/>
                <w:szCs w:val="21"/>
              </w:rPr>
              <w:t>被评价企业负责人签字</w:t>
            </w:r>
          </w:p>
        </w:tc>
        <w:tc>
          <w:tcPr>
            <w:tcW w:w="711" w:type="pct"/>
            <w:shd w:val="clear" w:color="auto" w:fill="auto"/>
            <w:noWrap w:val="0"/>
            <w:vAlign w:val="top"/>
          </w:tcPr>
          <w:p w14:paraId="35B568CA">
            <w:pPr>
              <w:widowControl/>
              <w:rPr>
                <w:rFonts w:hint="eastAsia" w:ascii="Times New Roman" w:hAnsi="Times New Roman"/>
                <w:kern w:val="0"/>
              </w:rPr>
            </w:pPr>
          </w:p>
        </w:tc>
        <w:tc>
          <w:tcPr>
            <w:tcW w:w="711" w:type="pct"/>
            <w:shd w:val="clear" w:color="auto" w:fill="auto"/>
            <w:noWrap w:val="0"/>
            <w:vAlign w:val="top"/>
          </w:tcPr>
          <w:p w14:paraId="7AE73F39">
            <w:pPr>
              <w:spacing w:line="280" w:lineRule="exact"/>
              <w:jc w:val="center"/>
              <w:rPr>
                <w:rFonts w:hint="eastAsia" w:ascii="Times New Roman" w:hAnsi="Times New Roman"/>
                <w:kern w:val="0"/>
              </w:rPr>
            </w:pPr>
            <w:r>
              <w:rPr>
                <w:rFonts w:hint="eastAsia" w:ascii="Times New Roman" w:hAnsi="Times New Roman" w:cs="宋体"/>
                <w:b/>
                <w:bCs/>
                <w:szCs w:val="21"/>
              </w:rPr>
              <w:t>日期</w:t>
            </w:r>
          </w:p>
        </w:tc>
        <w:tc>
          <w:tcPr>
            <w:tcW w:w="673" w:type="pct"/>
            <w:shd w:val="clear" w:color="auto" w:fill="auto"/>
            <w:noWrap w:val="0"/>
            <w:vAlign w:val="top"/>
          </w:tcPr>
          <w:p w14:paraId="77FB3DA8">
            <w:pPr>
              <w:widowControl/>
              <w:rPr>
                <w:rFonts w:hint="eastAsia" w:ascii="Times New Roman" w:hAnsi="Times New Roman"/>
                <w:kern w:val="0"/>
              </w:rPr>
            </w:pPr>
          </w:p>
        </w:tc>
      </w:tr>
    </w:tbl>
    <w:p w14:paraId="0C235229">
      <w:pPr>
        <w:spacing w:line="10" w:lineRule="atLeast"/>
        <w:ind w:firstLine="400" w:firstLineChars="200"/>
        <w:textAlignment w:val="center"/>
        <w:rPr>
          <w:rFonts w:ascii="Times New Roman" w:hAnsi="Times New Roman" w:cs="宋体"/>
          <w:color w:val="000000"/>
          <w:sz w:val="20"/>
          <w:szCs w:val="20"/>
        </w:rPr>
      </w:pPr>
    </w:p>
    <w:p w14:paraId="67338E11">
      <w:pPr>
        <w:rPr>
          <w:color w:val="000000"/>
          <w:szCs w:val="21"/>
        </w:rPr>
      </w:pPr>
      <w:r>
        <w:rPr>
          <w:rFonts w:ascii="Times New Roman" w:hAnsi="Times New Roman"/>
        </w:rPr>
        <w:br w:type="page"/>
      </w:r>
      <w:r>
        <w:rPr>
          <w:rFonts w:ascii="黑体" w:hAnsi="黑体" w:eastAsia="黑体"/>
        </w:rPr>
        <w:t>A.</w:t>
      </w:r>
      <w:r>
        <w:rPr>
          <w:rFonts w:hint="eastAsia" w:ascii="黑体" w:hAnsi="黑体" w:eastAsia="黑体"/>
        </w:rPr>
        <w:t>4</w:t>
      </w:r>
      <w:r>
        <w:rPr>
          <w:rFonts w:ascii="黑体" w:hAnsi="黑体" w:eastAsia="黑体"/>
        </w:rPr>
        <w:t>　评价过程会商表</w:t>
      </w:r>
    </w:p>
    <w:p w14:paraId="0CA9E58D">
      <w:pPr>
        <w:rPr>
          <w:rFonts w:ascii="黑体" w:hAnsi="黑体" w:eastAsia="黑体"/>
        </w:rPr>
      </w:pPr>
      <w:r>
        <w:rPr>
          <w:rFonts w:ascii="黑体" w:hAnsi="黑体" w:eastAsia="黑体"/>
        </w:rPr>
        <w:t>A.</w:t>
      </w:r>
      <w:r>
        <w:rPr>
          <w:rFonts w:hint="eastAsia" w:ascii="黑体" w:hAnsi="黑体" w:eastAsia="黑体"/>
        </w:rPr>
        <w:t>4</w:t>
      </w:r>
      <w:r>
        <w:rPr>
          <w:rFonts w:ascii="黑体" w:hAnsi="黑体" w:eastAsia="黑体"/>
        </w:rPr>
        <w:t>.</w:t>
      </w:r>
      <w:r>
        <w:rPr>
          <w:rFonts w:hint="eastAsia" w:ascii="黑体" w:hAnsi="黑体" w:eastAsia="黑体"/>
        </w:rPr>
        <w:t>1</w:t>
      </w:r>
      <w:r>
        <w:rPr>
          <w:rFonts w:ascii="黑体" w:hAnsi="黑体" w:eastAsia="黑体"/>
        </w:rPr>
        <w:t>　</w:t>
      </w:r>
      <w:r>
        <w:rPr>
          <w:rFonts w:hint="eastAsia" w:ascii="黑体" w:hAnsi="黑体" w:eastAsia="黑体"/>
        </w:rPr>
        <w:t>表格填写</w:t>
      </w:r>
    </w:p>
    <w:p w14:paraId="5D83E287">
      <w:pPr>
        <w:ind w:firstLine="420" w:firstLineChars="200"/>
        <w:rPr>
          <w:rFonts w:ascii="宋体" w:hAnsi="宋体" w:cs="宋体"/>
          <w:color w:val="000000"/>
        </w:rPr>
      </w:pPr>
      <w:r>
        <w:rPr>
          <w:rFonts w:hint="eastAsia" w:ascii="宋体" w:hAnsi="宋体" w:cs="宋体"/>
          <w:color w:val="000000"/>
        </w:rPr>
        <w:t xml:space="preserve">A.4.1.1 </w:t>
      </w:r>
      <w:r>
        <w:rPr>
          <w:rFonts w:ascii="宋体" w:hAnsi="宋体" w:cs="宋体"/>
          <w:color w:val="000000"/>
        </w:rPr>
        <w:t>安全评价项目按照一会一表管理</w:t>
      </w:r>
      <w:r>
        <w:rPr>
          <w:rFonts w:hint="eastAsia" w:ascii="宋体" w:hAnsi="宋体" w:cs="宋体"/>
          <w:color w:val="000000"/>
        </w:rPr>
        <w:t>，评价项目组内部工作会商，或者与被评价企业等有关单位、有关人员之间就评价项目进行会商，应予以记录。</w:t>
      </w:r>
    </w:p>
    <w:p w14:paraId="68EFCC1F">
      <w:pPr>
        <w:ind w:firstLine="420" w:firstLineChars="200"/>
        <w:rPr>
          <w:rFonts w:hint="eastAsia" w:ascii="宋体" w:hAnsi="宋体" w:cs="宋体"/>
          <w:color w:val="000000"/>
        </w:rPr>
      </w:pPr>
      <w:r>
        <w:rPr>
          <w:rFonts w:hint="eastAsia" w:ascii="宋体" w:hAnsi="宋体" w:cs="宋体"/>
          <w:color w:val="000000"/>
        </w:rPr>
        <w:t>A.4.1.2 评价过程中包括但不限于以下会商主题：</w:t>
      </w:r>
    </w:p>
    <w:p w14:paraId="421FF57E">
      <w:pPr>
        <w:pStyle w:val="147"/>
        <w:numPr>
          <w:ilvl w:val="0"/>
          <w:numId w:val="40"/>
        </w:numPr>
        <w:ind w:firstLine="420"/>
        <w:rPr>
          <w:rFonts w:hint="eastAsia"/>
        </w:rPr>
      </w:pPr>
      <w:r>
        <w:rPr>
          <w:rFonts w:hint="eastAsia"/>
        </w:rPr>
        <w:t>项目启动分工/立项后首次会商。明确评价背景、来源、评价范围、评价内容、评价工作程序，列表说明评价人员工作安排（姓名、专业、职务、项目角色），列表说明评价工作计划（阶段、内容、开始时间、结束时间）；</w:t>
      </w:r>
    </w:p>
    <w:p w14:paraId="43153195">
      <w:pPr>
        <w:pStyle w:val="147"/>
        <w:numPr>
          <w:ilvl w:val="0"/>
          <w:numId w:val="40"/>
        </w:numPr>
        <w:ind w:firstLine="420"/>
        <w:rPr>
          <w:rFonts w:hint="eastAsia"/>
        </w:rPr>
      </w:pPr>
      <w:r>
        <w:rPr>
          <w:rFonts w:hint="eastAsia"/>
        </w:rPr>
        <w:t>项目问题汇总/质量控制会商。说明当前评价工作进度、评价工作总体情况，简述发现的主要问题及整改计划；</w:t>
      </w:r>
    </w:p>
    <w:p w14:paraId="1031A6E8">
      <w:pPr>
        <w:pStyle w:val="147"/>
        <w:numPr>
          <w:ilvl w:val="0"/>
          <w:numId w:val="40"/>
        </w:numPr>
        <w:ind w:firstLine="420"/>
        <w:rPr>
          <w:rFonts w:hint="eastAsia"/>
        </w:rPr>
      </w:pPr>
      <w:r>
        <w:rPr>
          <w:rFonts w:hint="eastAsia"/>
        </w:rPr>
        <w:t>项目单位需求对接/整改落实会商。说明当前评价工作进度、评价工作总体情况，简述项目单位新增要求、争议事项沟通结论、新增整改任务、下次工作对接时限。由项目单位盖章/签字确认；</w:t>
      </w:r>
    </w:p>
    <w:p w14:paraId="5AC15BDB">
      <w:pPr>
        <w:pStyle w:val="147"/>
        <w:numPr>
          <w:ilvl w:val="0"/>
          <w:numId w:val="40"/>
        </w:numPr>
        <w:ind w:firstLine="420"/>
        <w:rPr>
          <w:rFonts w:hint="eastAsia"/>
        </w:rPr>
      </w:pPr>
      <w:r>
        <w:rPr>
          <w:rFonts w:hint="eastAsia"/>
        </w:rPr>
        <w:t>项目变更会纪要。涉及变更则列表说明项目评价范围、评价内容、评价边界、负责人等主要变更的变更前内容、变更后内容、变更原因、变更时间及影响分析。由项目单位盖章/签字确认。</w:t>
      </w:r>
    </w:p>
    <w:p w14:paraId="07F17913">
      <w:pPr>
        <w:rPr>
          <w:rFonts w:hint="eastAsia" w:ascii="黑体" w:hAnsi="黑体" w:eastAsia="黑体"/>
        </w:rPr>
      </w:pPr>
      <w:r>
        <w:rPr>
          <w:rFonts w:ascii="黑体" w:hAnsi="黑体" w:eastAsia="黑体"/>
        </w:rPr>
        <w:t>A.</w:t>
      </w:r>
      <w:r>
        <w:rPr>
          <w:rFonts w:hint="eastAsia" w:ascii="黑体" w:hAnsi="黑体" w:eastAsia="黑体"/>
        </w:rPr>
        <w:t>4</w:t>
      </w:r>
      <w:r>
        <w:rPr>
          <w:rFonts w:ascii="黑体" w:hAnsi="黑体" w:eastAsia="黑体"/>
        </w:rPr>
        <w:t>.</w:t>
      </w:r>
      <w:r>
        <w:rPr>
          <w:rFonts w:hint="eastAsia" w:ascii="黑体" w:hAnsi="黑体" w:eastAsia="黑体"/>
        </w:rPr>
        <w:t>2</w:t>
      </w:r>
      <w:r>
        <w:rPr>
          <w:rFonts w:ascii="黑体" w:hAnsi="黑体" w:eastAsia="黑体"/>
        </w:rPr>
        <w:t>　</w:t>
      </w:r>
      <w:r>
        <w:rPr>
          <w:rFonts w:hint="eastAsia" w:ascii="黑体" w:hAnsi="黑体" w:eastAsia="黑体"/>
        </w:rPr>
        <w:t>表格格式</w:t>
      </w:r>
    </w:p>
    <w:p w14:paraId="7DCDEB59">
      <w:pPr>
        <w:ind w:firstLine="420" w:firstLineChars="200"/>
        <w:rPr>
          <w:rFonts w:ascii="宋体" w:hAnsi="宋体" w:cs="宋体"/>
          <w:color w:val="000000"/>
        </w:rPr>
      </w:pPr>
      <w:r>
        <w:rPr>
          <w:rFonts w:hint="eastAsia" w:ascii="宋体" w:hAnsi="宋体" w:cs="宋体"/>
          <w:color w:val="000000"/>
        </w:rPr>
        <w:t>按照表A.4的格式编制评价过</w:t>
      </w:r>
      <w:r>
        <w:rPr>
          <w:rFonts w:ascii="宋体" w:hAnsi="宋体" w:cs="宋体"/>
          <w:color w:val="000000"/>
        </w:rPr>
        <w:t>程会商表</w:t>
      </w:r>
      <w:r>
        <w:rPr>
          <w:rFonts w:hint="eastAsia" w:ascii="宋体" w:hAnsi="宋体" w:cs="宋体"/>
          <w:color w:val="000000"/>
        </w:rPr>
        <w:t>。</w:t>
      </w:r>
    </w:p>
    <w:p w14:paraId="7462B899">
      <w:pPr>
        <w:jc w:val="center"/>
        <w:rPr>
          <w:rFonts w:hint="eastAsia" w:ascii="黑体" w:hAnsi="黑体" w:eastAsia="黑体"/>
        </w:rPr>
      </w:pPr>
      <w:r>
        <w:rPr>
          <w:rFonts w:ascii="黑体" w:hAnsi="黑体" w:eastAsia="黑体"/>
        </w:rPr>
        <w:t>表</w:t>
      </w:r>
      <w:r>
        <w:rPr>
          <w:rFonts w:hint="eastAsia" w:ascii="黑体" w:hAnsi="黑体" w:eastAsia="黑体"/>
        </w:rPr>
        <w:t>A.4</w:t>
      </w:r>
      <w:r>
        <w:rPr>
          <w:rFonts w:ascii="黑体" w:hAnsi="黑体" w:eastAsia="黑体"/>
        </w:rPr>
        <w:t xml:space="preserve">  评价过程会商表</w:t>
      </w:r>
    </w:p>
    <w:tbl>
      <w:tblPr>
        <w:tblStyle w:val="36"/>
        <w:tblW w:w="4991" w:type="pct"/>
        <w:tblInd w:w="-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15" w:type="dxa"/>
          <w:left w:w="15" w:type="dxa"/>
          <w:bottom w:w="15" w:type="dxa"/>
          <w:right w:w="15" w:type="dxa"/>
        </w:tblCellMar>
      </w:tblPr>
      <w:tblGrid>
        <w:gridCol w:w="2257"/>
        <w:gridCol w:w="944"/>
        <w:gridCol w:w="2168"/>
        <w:gridCol w:w="707"/>
        <w:gridCol w:w="673"/>
        <w:gridCol w:w="2579"/>
      </w:tblGrid>
      <w:tr w14:paraId="581A4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64" w:hRule="atLeast"/>
        </w:trPr>
        <w:tc>
          <w:tcPr>
            <w:tcW w:w="1210" w:type="pct"/>
            <w:shd w:val="clear" w:color="auto" w:fill="FFFFFF"/>
            <w:noWrap w:val="0"/>
            <w:tcMar>
              <w:top w:w="60" w:type="dxa"/>
              <w:left w:w="80" w:type="dxa"/>
              <w:bottom w:w="60" w:type="dxa"/>
              <w:right w:w="80" w:type="dxa"/>
            </w:tcMar>
            <w:vAlign w:val="center"/>
          </w:tcPr>
          <w:p w14:paraId="493C285C">
            <w:pPr>
              <w:jc w:val="center"/>
              <w:textAlignment w:val="center"/>
              <w:rPr>
                <w:rFonts w:hint="eastAsia" w:ascii="Times New Roman" w:hAnsi="Times New Roman" w:cs="宋体"/>
                <w:bCs/>
                <w:color w:val="000000"/>
                <w:sz w:val="20"/>
                <w:szCs w:val="20"/>
              </w:rPr>
            </w:pPr>
            <w:r>
              <w:rPr>
                <w:rFonts w:hint="eastAsia" w:ascii="Times New Roman" w:hAnsi="Times New Roman" w:cs="宋体"/>
                <w:bCs/>
                <w:color w:val="000000"/>
                <w:sz w:val="20"/>
                <w:szCs w:val="20"/>
              </w:rPr>
              <w:t>评价项目名称</w:t>
            </w:r>
          </w:p>
        </w:tc>
        <w:tc>
          <w:tcPr>
            <w:tcW w:w="3790" w:type="pct"/>
            <w:gridSpan w:val="5"/>
            <w:shd w:val="clear" w:color="auto" w:fill="FFFFFF"/>
            <w:noWrap w:val="0"/>
            <w:tcMar>
              <w:top w:w="60" w:type="dxa"/>
              <w:left w:w="80" w:type="dxa"/>
              <w:bottom w:w="60" w:type="dxa"/>
              <w:right w:w="80" w:type="dxa"/>
            </w:tcMar>
            <w:vAlign w:val="center"/>
          </w:tcPr>
          <w:p w14:paraId="004D5068">
            <w:pPr>
              <w:textAlignment w:val="center"/>
              <w:rPr>
                <w:rFonts w:hint="eastAsia" w:ascii="Times New Roman" w:hAnsi="Times New Roman" w:cs="宋体"/>
                <w:color w:val="000000"/>
                <w:sz w:val="20"/>
                <w:szCs w:val="20"/>
              </w:rPr>
            </w:pPr>
          </w:p>
        </w:tc>
      </w:tr>
      <w:tr w14:paraId="6B312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64" w:hRule="atLeast"/>
        </w:trPr>
        <w:tc>
          <w:tcPr>
            <w:tcW w:w="1210" w:type="pct"/>
            <w:shd w:val="clear" w:color="auto" w:fill="FFFFFF"/>
            <w:noWrap w:val="0"/>
            <w:tcMar>
              <w:top w:w="60" w:type="dxa"/>
              <w:left w:w="80" w:type="dxa"/>
              <w:bottom w:w="60" w:type="dxa"/>
              <w:right w:w="80" w:type="dxa"/>
            </w:tcMar>
            <w:vAlign w:val="center"/>
          </w:tcPr>
          <w:p w14:paraId="4EF8653B">
            <w:pPr>
              <w:jc w:val="center"/>
              <w:textAlignment w:val="center"/>
              <w:rPr>
                <w:rFonts w:hint="eastAsia" w:ascii="Times New Roman" w:hAnsi="Times New Roman" w:cs="宋体"/>
                <w:bCs/>
                <w:color w:val="000000"/>
                <w:sz w:val="20"/>
                <w:szCs w:val="20"/>
              </w:rPr>
            </w:pPr>
            <w:r>
              <w:rPr>
                <w:rFonts w:hint="eastAsia" w:ascii="Times New Roman" w:hAnsi="Times New Roman" w:cs="宋体"/>
                <w:bCs/>
                <w:color w:val="000000"/>
                <w:sz w:val="20"/>
                <w:szCs w:val="20"/>
              </w:rPr>
              <w:t>被评价企业名称</w:t>
            </w:r>
          </w:p>
        </w:tc>
        <w:tc>
          <w:tcPr>
            <w:tcW w:w="3790" w:type="pct"/>
            <w:gridSpan w:val="5"/>
            <w:shd w:val="clear" w:color="auto" w:fill="FFFFFF"/>
            <w:noWrap w:val="0"/>
            <w:tcMar>
              <w:top w:w="60" w:type="dxa"/>
              <w:left w:w="80" w:type="dxa"/>
              <w:bottom w:w="60" w:type="dxa"/>
              <w:right w:w="80" w:type="dxa"/>
            </w:tcMar>
            <w:vAlign w:val="center"/>
          </w:tcPr>
          <w:p w14:paraId="1EB0A009">
            <w:pPr>
              <w:textAlignment w:val="center"/>
              <w:rPr>
                <w:rFonts w:hint="eastAsia" w:ascii="Times New Roman" w:hAnsi="Times New Roman" w:cs="宋体"/>
                <w:color w:val="000000"/>
                <w:sz w:val="20"/>
                <w:szCs w:val="20"/>
              </w:rPr>
            </w:pPr>
          </w:p>
        </w:tc>
      </w:tr>
      <w:tr w14:paraId="08D22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3" w:hRule="atLeast"/>
        </w:trPr>
        <w:tc>
          <w:tcPr>
            <w:tcW w:w="121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53781E8">
            <w:pPr>
              <w:jc w:val="center"/>
              <w:rPr>
                <w:rFonts w:ascii="Times New Roman" w:hAnsi="Times New Roman"/>
                <w:szCs w:val="21"/>
              </w:rPr>
            </w:pPr>
            <w:r>
              <w:rPr>
                <w:rFonts w:hint="eastAsia" w:ascii="Times New Roman" w:hAnsi="Times New Roman"/>
                <w:szCs w:val="21"/>
              </w:rPr>
              <w:t>会商主题</w:t>
            </w:r>
          </w:p>
        </w:tc>
        <w:tc>
          <w:tcPr>
            <w:tcW w:w="3790" w:type="pct"/>
            <w:gridSpan w:val="5"/>
            <w:tcBorders>
              <w:top w:val="single" w:color="auto" w:sz="4" w:space="0"/>
              <w:left w:val="single" w:color="auto" w:sz="4" w:space="0"/>
              <w:bottom w:val="single" w:color="auto" w:sz="4" w:space="0"/>
              <w:right w:val="single" w:color="auto" w:sz="4" w:space="0"/>
            </w:tcBorders>
            <w:shd w:val="clear" w:color="auto" w:fill="auto"/>
            <w:noWrap w:val="0"/>
            <w:vAlign w:val="top"/>
          </w:tcPr>
          <w:p w14:paraId="0AE4F7E2">
            <w:pPr>
              <w:rPr>
                <w:rFonts w:ascii="Times New Roman" w:hAnsi="Times New Roman"/>
                <w:szCs w:val="21"/>
              </w:rPr>
            </w:pPr>
          </w:p>
        </w:tc>
      </w:tr>
      <w:tr w14:paraId="45A92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3" w:hRule="atLeast"/>
        </w:trPr>
        <w:tc>
          <w:tcPr>
            <w:tcW w:w="121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94C2ABE">
            <w:pPr>
              <w:jc w:val="center"/>
              <w:rPr>
                <w:rFonts w:ascii="Times New Roman" w:hAnsi="Times New Roman"/>
                <w:szCs w:val="21"/>
              </w:rPr>
            </w:pPr>
            <w:r>
              <w:rPr>
                <w:rFonts w:hint="eastAsia" w:ascii="Times New Roman" w:hAnsi="Times New Roman"/>
                <w:szCs w:val="21"/>
              </w:rPr>
              <w:t>会商时间</w:t>
            </w:r>
          </w:p>
        </w:tc>
        <w:tc>
          <w:tcPr>
            <w:tcW w:w="1668" w:type="pct"/>
            <w:gridSpan w:val="2"/>
            <w:tcBorders>
              <w:top w:val="single" w:color="auto" w:sz="4" w:space="0"/>
              <w:left w:val="single" w:color="auto" w:sz="4" w:space="0"/>
              <w:bottom w:val="single" w:color="auto" w:sz="4" w:space="0"/>
              <w:right w:val="single" w:color="auto" w:sz="4" w:space="0"/>
            </w:tcBorders>
            <w:shd w:val="clear" w:color="auto" w:fill="auto"/>
            <w:noWrap w:val="0"/>
            <w:vAlign w:val="top"/>
          </w:tcPr>
          <w:p w14:paraId="1D2C3959">
            <w:pPr>
              <w:rPr>
                <w:rFonts w:ascii="Times New Roman" w:hAnsi="Times New Roman"/>
                <w:szCs w:val="21"/>
              </w:rPr>
            </w:pPr>
          </w:p>
        </w:tc>
        <w:tc>
          <w:tcPr>
            <w:tcW w:w="740"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8279A58">
            <w:pPr>
              <w:jc w:val="center"/>
              <w:rPr>
                <w:rFonts w:ascii="Times New Roman" w:hAnsi="Times New Roman"/>
                <w:szCs w:val="21"/>
              </w:rPr>
            </w:pPr>
            <w:r>
              <w:rPr>
                <w:rFonts w:hint="eastAsia" w:ascii="Times New Roman" w:hAnsi="Times New Roman"/>
                <w:szCs w:val="21"/>
              </w:rPr>
              <w:t>地  点</w:t>
            </w:r>
          </w:p>
        </w:tc>
        <w:tc>
          <w:tcPr>
            <w:tcW w:w="1382" w:type="pct"/>
            <w:tcBorders>
              <w:top w:val="single" w:color="auto" w:sz="4" w:space="0"/>
              <w:left w:val="single" w:color="auto" w:sz="4" w:space="0"/>
              <w:bottom w:val="single" w:color="auto" w:sz="4" w:space="0"/>
              <w:right w:val="single" w:color="auto" w:sz="4" w:space="0"/>
            </w:tcBorders>
            <w:shd w:val="clear" w:color="auto" w:fill="auto"/>
            <w:noWrap w:val="0"/>
            <w:vAlign w:val="top"/>
          </w:tcPr>
          <w:p w14:paraId="6A63C01B">
            <w:pPr>
              <w:rPr>
                <w:rFonts w:ascii="Times New Roman" w:hAnsi="Times New Roman"/>
                <w:szCs w:val="21"/>
              </w:rPr>
            </w:pPr>
          </w:p>
        </w:tc>
      </w:tr>
      <w:tr w14:paraId="6C498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343" w:hRule="atLeast"/>
        </w:trPr>
        <w:tc>
          <w:tcPr>
            <w:tcW w:w="121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D2D0805">
            <w:pPr>
              <w:jc w:val="center"/>
              <w:rPr>
                <w:rFonts w:ascii="Times New Roman" w:hAnsi="Times New Roman"/>
                <w:szCs w:val="21"/>
              </w:rPr>
            </w:pPr>
            <w:r>
              <w:rPr>
                <w:rFonts w:hint="eastAsia" w:ascii="Times New Roman" w:hAnsi="Times New Roman"/>
                <w:szCs w:val="21"/>
              </w:rPr>
              <w:t>主持人</w:t>
            </w:r>
          </w:p>
        </w:tc>
        <w:tc>
          <w:tcPr>
            <w:tcW w:w="3790" w:type="pct"/>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6BA377A2">
            <w:pPr>
              <w:jc w:val="center"/>
              <w:rPr>
                <w:rFonts w:ascii="Times New Roman" w:hAnsi="Times New Roman"/>
                <w:szCs w:val="21"/>
              </w:rPr>
            </w:pPr>
          </w:p>
        </w:tc>
      </w:tr>
      <w:tr w14:paraId="62B86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343" w:hRule="atLeast"/>
        </w:trPr>
        <w:tc>
          <w:tcPr>
            <w:tcW w:w="1716"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741C1E8">
            <w:pPr>
              <w:jc w:val="center"/>
              <w:rPr>
                <w:rFonts w:ascii="Times New Roman" w:hAnsi="Times New Roman"/>
                <w:szCs w:val="21"/>
              </w:rPr>
            </w:pPr>
            <w:r>
              <w:rPr>
                <w:rFonts w:hint="eastAsia" w:ascii="Times New Roman" w:hAnsi="Times New Roman"/>
                <w:szCs w:val="21"/>
              </w:rPr>
              <w:t>参加单位</w:t>
            </w:r>
          </w:p>
        </w:tc>
        <w:tc>
          <w:tcPr>
            <w:tcW w:w="1541"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9F150D6">
            <w:pPr>
              <w:jc w:val="center"/>
              <w:rPr>
                <w:rFonts w:ascii="Times New Roman" w:hAnsi="Times New Roman"/>
                <w:szCs w:val="21"/>
              </w:rPr>
            </w:pPr>
            <w:r>
              <w:rPr>
                <w:rFonts w:hint="eastAsia" w:ascii="Times New Roman" w:hAnsi="Times New Roman"/>
                <w:szCs w:val="21"/>
              </w:rPr>
              <w:t>参加人员</w:t>
            </w:r>
          </w:p>
        </w:tc>
        <w:tc>
          <w:tcPr>
            <w:tcW w:w="1744"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8D0D663">
            <w:pPr>
              <w:jc w:val="center"/>
              <w:rPr>
                <w:rFonts w:ascii="Times New Roman" w:hAnsi="Times New Roman"/>
                <w:szCs w:val="21"/>
              </w:rPr>
            </w:pPr>
            <w:r>
              <w:rPr>
                <w:rFonts w:hint="eastAsia" w:ascii="Times New Roman" w:hAnsi="Times New Roman"/>
                <w:szCs w:val="21"/>
              </w:rPr>
              <w:t>职称/职务</w:t>
            </w:r>
          </w:p>
        </w:tc>
      </w:tr>
      <w:tr w14:paraId="5882D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343" w:hRule="atLeast"/>
        </w:trPr>
        <w:tc>
          <w:tcPr>
            <w:tcW w:w="1716" w:type="pct"/>
            <w:gridSpan w:val="2"/>
            <w:vMerge w:val="restart"/>
            <w:tcBorders>
              <w:top w:val="single" w:color="auto" w:sz="4" w:space="0"/>
              <w:left w:val="single" w:color="auto" w:sz="4" w:space="0"/>
              <w:right w:val="single" w:color="auto" w:sz="4" w:space="0"/>
            </w:tcBorders>
            <w:shd w:val="clear" w:color="auto" w:fill="auto"/>
            <w:noWrap w:val="0"/>
            <w:vAlign w:val="center"/>
          </w:tcPr>
          <w:p w14:paraId="4C4E45FF">
            <w:pPr>
              <w:jc w:val="center"/>
              <w:rPr>
                <w:rFonts w:ascii="Times New Roman" w:hAnsi="Times New Roman"/>
                <w:szCs w:val="21"/>
              </w:rPr>
            </w:pPr>
            <w:r>
              <w:rPr>
                <w:rFonts w:hint="eastAsia" w:ascii="Times New Roman" w:hAnsi="Times New Roman"/>
                <w:szCs w:val="21"/>
              </w:rPr>
              <w:t>单位1</w:t>
            </w:r>
          </w:p>
        </w:tc>
        <w:tc>
          <w:tcPr>
            <w:tcW w:w="1541"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783404A">
            <w:pPr>
              <w:jc w:val="center"/>
              <w:rPr>
                <w:rFonts w:ascii="Times New Roman" w:hAnsi="Times New Roman"/>
                <w:szCs w:val="21"/>
              </w:rPr>
            </w:pPr>
          </w:p>
        </w:tc>
        <w:tc>
          <w:tcPr>
            <w:tcW w:w="1744"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BEC701D">
            <w:pPr>
              <w:jc w:val="center"/>
              <w:rPr>
                <w:rFonts w:ascii="Times New Roman" w:hAnsi="Times New Roman"/>
                <w:szCs w:val="21"/>
              </w:rPr>
            </w:pPr>
          </w:p>
        </w:tc>
      </w:tr>
      <w:tr w14:paraId="0BE09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343" w:hRule="atLeast"/>
        </w:trPr>
        <w:tc>
          <w:tcPr>
            <w:tcW w:w="1716" w:type="pct"/>
            <w:gridSpan w:val="2"/>
            <w:vMerge w:val="continue"/>
            <w:tcBorders>
              <w:left w:val="single" w:color="auto" w:sz="4" w:space="0"/>
              <w:bottom w:val="single" w:color="auto" w:sz="4" w:space="0"/>
              <w:right w:val="single" w:color="auto" w:sz="4" w:space="0"/>
            </w:tcBorders>
            <w:shd w:val="clear" w:color="auto" w:fill="auto"/>
            <w:noWrap w:val="0"/>
            <w:vAlign w:val="center"/>
          </w:tcPr>
          <w:p w14:paraId="28888B46">
            <w:pPr>
              <w:jc w:val="center"/>
              <w:rPr>
                <w:rFonts w:ascii="Times New Roman" w:hAnsi="Times New Roman"/>
                <w:szCs w:val="21"/>
              </w:rPr>
            </w:pPr>
          </w:p>
        </w:tc>
        <w:tc>
          <w:tcPr>
            <w:tcW w:w="1541"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24D2AB0">
            <w:pPr>
              <w:jc w:val="center"/>
              <w:rPr>
                <w:rFonts w:ascii="Times New Roman" w:hAnsi="Times New Roman"/>
                <w:szCs w:val="21"/>
              </w:rPr>
            </w:pPr>
          </w:p>
        </w:tc>
        <w:tc>
          <w:tcPr>
            <w:tcW w:w="1744"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1F8785E">
            <w:pPr>
              <w:jc w:val="center"/>
              <w:rPr>
                <w:rFonts w:ascii="Times New Roman" w:hAnsi="Times New Roman"/>
                <w:szCs w:val="21"/>
              </w:rPr>
            </w:pPr>
          </w:p>
        </w:tc>
      </w:tr>
      <w:tr w14:paraId="34213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343" w:hRule="atLeast"/>
        </w:trPr>
        <w:tc>
          <w:tcPr>
            <w:tcW w:w="1716" w:type="pct"/>
            <w:gridSpan w:val="2"/>
            <w:vMerge w:val="restart"/>
            <w:tcBorders>
              <w:top w:val="single" w:color="auto" w:sz="4" w:space="0"/>
              <w:left w:val="single" w:color="auto" w:sz="4" w:space="0"/>
              <w:right w:val="single" w:color="auto" w:sz="4" w:space="0"/>
            </w:tcBorders>
            <w:shd w:val="clear" w:color="auto" w:fill="auto"/>
            <w:noWrap w:val="0"/>
            <w:vAlign w:val="center"/>
          </w:tcPr>
          <w:p w14:paraId="7EBD4C6E">
            <w:pPr>
              <w:jc w:val="center"/>
              <w:rPr>
                <w:rFonts w:ascii="Times New Roman" w:hAnsi="Times New Roman"/>
                <w:szCs w:val="21"/>
              </w:rPr>
            </w:pPr>
            <w:r>
              <w:rPr>
                <w:rFonts w:hint="eastAsia" w:ascii="Times New Roman" w:hAnsi="Times New Roman"/>
                <w:szCs w:val="21"/>
              </w:rPr>
              <w:t>单位2</w:t>
            </w:r>
          </w:p>
        </w:tc>
        <w:tc>
          <w:tcPr>
            <w:tcW w:w="1541"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5478515">
            <w:pPr>
              <w:jc w:val="center"/>
              <w:rPr>
                <w:rFonts w:ascii="Times New Roman" w:hAnsi="Times New Roman"/>
                <w:szCs w:val="21"/>
              </w:rPr>
            </w:pPr>
          </w:p>
        </w:tc>
        <w:tc>
          <w:tcPr>
            <w:tcW w:w="1744"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ED98B17">
            <w:pPr>
              <w:jc w:val="center"/>
              <w:rPr>
                <w:rFonts w:ascii="Times New Roman" w:hAnsi="Times New Roman"/>
                <w:szCs w:val="21"/>
              </w:rPr>
            </w:pPr>
          </w:p>
        </w:tc>
      </w:tr>
      <w:tr w14:paraId="51633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343" w:hRule="atLeast"/>
        </w:trPr>
        <w:tc>
          <w:tcPr>
            <w:tcW w:w="1716" w:type="pct"/>
            <w:gridSpan w:val="2"/>
            <w:vMerge w:val="continue"/>
            <w:tcBorders>
              <w:left w:val="single" w:color="auto" w:sz="4" w:space="0"/>
              <w:bottom w:val="single" w:color="auto" w:sz="4" w:space="0"/>
              <w:right w:val="single" w:color="auto" w:sz="4" w:space="0"/>
            </w:tcBorders>
            <w:shd w:val="clear" w:color="auto" w:fill="auto"/>
            <w:noWrap w:val="0"/>
            <w:vAlign w:val="center"/>
          </w:tcPr>
          <w:p w14:paraId="2BA159D0">
            <w:pPr>
              <w:jc w:val="center"/>
              <w:rPr>
                <w:rFonts w:ascii="Times New Roman" w:hAnsi="Times New Roman"/>
                <w:szCs w:val="21"/>
              </w:rPr>
            </w:pPr>
          </w:p>
        </w:tc>
        <w:tc>
          <w:tcPr>
            <w:tcW w:w="1541"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C2004E3">
            <w:pPr>
              <w:jc w:val="center"/>
              <w:rPr>
                <w:rFonts w:ascii="Times New Roman" w:hAnsi="Times New Roman"/>
                <w:szCs w:val="21"/>
              </w:rPr>
            </w:pPr>
          </w:p>
        </w:tc>
        <w:tc>
          <w:tcPr>
            <w:tcW w:w="1744"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EC9C573">
            <w:pPr>
              <w:jc w:val="center"/>
              <w:rPr>
                <w:rFonts w:ascii="Times New Roman" w:hAnsi="Times New Roman"/>
                <w:szCs w:val="21"/>
              </w:rPr>
            </w:pPr>
          </w:p>
        </w:tc>
      </w:tr>
      <w:tr w14:paraId="303BC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343" w:hRule="atLeast"/>
        </w:trPr>
        <w:tc>
          <w:tcPr>
            <w:tcW w:w="1716" w:type="pct"/>
            <w:gridSpan w:val="2"/>
            <w:tcBorders>
              <w:left w:val="single" w:color="auto" w:sz="4" w:space="0"/>
              <w:bottom w:val="single" w:color="auto" w:sz="4" w:space="0"/>
              <w:right w:val="single" w:color="auto" w:sz="4" w:space="0"/>
            </w:tcBorders>
            <w:shd w:val="clear" w:color="auto" w:fill="auto"/>
            <w:noWrap w:val="0"/>
            <w:vAlign w:val="center"/>
          </w:tcPr>
          <w:p w14:paraId="4E2C2AE5">
            <w:pPr>
              <w:jc w:val="center"/>
              <w:rPr>
                <w:rFonts w:ascii="Times New Roman" w:hAnsi="Times New Roman"/>
                <w:szCs w:val="21"/>
              </w:rPr>
            </w:pPr>
            <w:r>
              <w:rPr>
                <w:rFonts w:hint="eastAsia" w:ascii="Times New Roman" w:hAnsi="Times New Roman"/>
                <w:szCs w:val="21"/>
              </w:rPr>
              <w:t>……</w:t>
            </w:r>
          </w:p>
        </w:tc>
        <w:tc>
          <w:tcPr>
            <w:tcW w:w="1541"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BACB013">
            <w:pPr>
              <w:jc w:val="center"/>
              <w:rPr>
                <w:rFonts w:ascii="Times New Roman" w:hAnsi="Times New Roman"/>
                <w:szCs w:val="21"/>
              </w:rPr>
            </w:pPr>
          </w:p>
        </w:tc>
        <w:tc>
          <w:tcPr>
            <w:tcW w:w="1744"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DB19C19">
            <w:pPr>
              <w:jc w:val="center"/>
              <w:rPr>
                <w:rFonts w:ascii="Times New Roman" w:hAnsi="Times New Roman"/>
                <w:szCs w:val="21"/>
              </w:rPr>
            </w:pPr>
          </w:p>
        </w:tc>
      </w:tr>
      <w:tr w14:paraId="2AA7C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18" w:hRule="atLeast"/>
        </w:trPr>
        <w:tc>
          <w:tcPr>
            <w:tcW w:w="5000" w:type="pct"/>
            <w:gridSpan w:val="6"/>
            <w:shd w:val="clear" w:color="auto" w:fill="auto"/>
            <w:noWrap w:val="0"/>
            <w:vAlign w:val="top"/>
          </w:tcPr>
          <w:p w14:paraId="098BCA9D">
            <w:pPr>
              <w:jc w:val="center"/>
              <w:rPr>
                <w:rFonts w:ascii="Times New Roman" w:hAnsi="Times New Roman"/>
                <w:szCs w:val="21"/>
              </w:rPr>
            </w:pPr>
            <w:r>
              <w:rPr>
                <w:rFonts w:hint="eastAsia" w:ascii="Times New Roman" w:hAnsi="Times New Roman"/>
                <w:szCs w:val="21"/>
              </w:rPr>
              <w:t>会商纪要</w:t>
            </w:r>
          </w:p>
          <w:p w14:paraId="1D37A066">
            <w:pPr>
              <w:ind w:firstLine="420" w:firstLineChars="200"/>
              <w:rPr>
                <w:rFonts w:ascii="Times New Roman" w:hAnsi="Times New Roman"/>
                <w:szCs w:val="21"/>
              </w:rPr>
            </w:pPr>
          </w:p>
          <w:p w14:paraId="7B6BAFF2">
            <w:pPr>
              <w:ind w:firstLine="420" w:firstLineChars="200"/>
              <w:rPr>
                <w:rFonts w:ascii="Times New Roman" w:hAnsi="Times New Roman"/>
                <w:szCs w:val="21"/>
              </w:rPr>
            </w:pPr>
          </w:p>
          <w:p w14:paraId="33059468">
            <w:pPr>
              <w:ind w:firstLine="420" w:firstLineChars="200"/>
              <w:rPr>
                <w:rFonts w:ascii="Times New Roman" w:hAnsi="Times New Roman"/>
                <w:szCs w:val="21"/>
              </w:rPr>
            </w:pPr>
          </w:p>
          <w:p w14:paraId="212B5820">
            <w:pPr>
              <w:ind w:firstLine="420" w:firstLineChars="200"/>
              <w:rPr>
                <w:rFonts w:hint="eastAsia" w:ascii="Times New Roman" w:hAnsi="Times New Roman"/>
                <w:szCs w:val="21"/>
              </w:rPr>
            </w:pPr>
          </w:p>
          <w:p w14:paraId="2D87E4FD">
            <w:pPr>
              <w:ind w:firstLine="420" w:firstLineChars="200"/>
              <w:rPr>
                <w:rFonts w:ascii="Times New Roman" w:hAnsi="Times New Roman"/>
                <w:szCs w:val="21"/>
              </w:rPr>
            </w:pPr>
          </w:p>
          <w:p w14:paraId="092629FC">
            <w:pPr>
              <w:ind w:firstLine="420" w:firstLineChars="200"/>
              <w:rPr>
                <w:rFonts w:ascii="Times New Roman" w:hAnsi="Times New Roman"/>
                <w:szCs w:val="21"/>
              </w:rPr>
            </w:pPr>
          </w:p>
          <w:p w14:paraId="77810C0C">
            <w:pPr>
              <w:ind w:firstLine="420" w:firstLineChars="200"/>
              <w:rPr>
                <w:rFonts w:ascii="Times New Roman" w:hAnsi="Times New Roman"/>
                <w:szCs w:val="21"/>
              </w:rPr>
            </w:pPr>
          </w:p>
          <w:p w14:paraId="02EFC9C6">
            <w:pPr>
              <w:ind w:firstLine="420" w:firstLineChars="200"/>
              <w:rPr>
                <w:rFonts w:ascii="Times New Roman" w:hAnsi="Times New Roman"/>
                <w:szCs w:val="21"/>
              </w:rPr>
            </w:pPr>
          </w:p>
          <w:p w14:paraId="345F7758">
            <w:pPr>
              <w:ind w:firstLine="420" w:firstLineChars="200"/>
              <w:rPr>
                <w:rFonts w:ascii="Times New Roman" w:hAnsi="Times New Roman"/>
                <w:szCs w:val="21"/>
              </w:rPr>
            </w:pPr>
          </w:p>
          <w:p w14:paraId="20D155F4">
            <w:pPr>
              <w:ind w:firstLine="420" w:firstLineChars="200"/>
              <w:rPr>
                <w:rFonts w:hint="eastAsia" w:ascii="Times New Roman" w:hAnsi="Times New Roman"/>
                <w:szCs w:val="21"/>
              </w:rPr>
            </w:pPr>
          </w:p>
        </w:tc>
      </w:tr>
    </w:tbl>
    <w:p w14:paraId="58E0E4EF">
      <w:pPr>
        <w:pStyle w:val="73"/>
        <w:numPr>
          <w:ilvl w:val="0"/>
          <w:numId w:val="0"/>
        </w:numPr>
        <w:spacing w:before="620" w:beforeLines="0" w:after="0" w:afterLines="0"/>
        <w:jc w:val="center"/>
        <w:outlineLvl w:val="0"/>
        <w:rPr>
          <w:rFonts w:hint="eastAsia"/>
          <w:highlight w:val="none"/>
        </w:rPr>
        <w:sectPr>
          <w:pgSz w:w="11906" w:h="16838"/>
          <w:pgMar w:top="1843" w:right="1134" w:bottom="1134" w:left="1417" w:header="1361" w:footer="1111" w:gutter="0"/>
          <w:cols w:space="0" w:num="1"/>
          <w:formProt w:val="0"/>
          <w:docGrid w:type="lines" w:linePitch="312" w:charSpace="0"/>
        </w:sectPr>
      </w:pPr>
    </w:p>
    <w:p w14:paraId="217445DE">
      <w:pPr>
        <w:pStyle w:val="73"/>
        <w:numPr>
          <w:ilvl w:val="0"/>
          <w:numId w:val="0"/>
        </w:numPr>
        <w:spacing w:before="620" w:beforeLines="0" w:after="0" w:afterLines="0"/>
        <w:jc w:val="center"/>
        <w:outlineLvl w:val="0"/>
        <w:rPr>
          <w:rFonts w:hint="eastAsia" w:eastAsia="黑体"/>
          <w:highlight w:val="none"/>
          <w:lang w:val="en-US" w:eastAsia="zh-CN"/>
        </w:rPr>
      </w:pPr>
      <w:bookmarkStart w:id="149" w:name="_Toc8993"/>
      <w:r>
        <w:rPr>
          <w:highlight w:val="none"/>
        </w:rPr>
        <mc:AlternateContent>
          <mc:Choice Requires="wps">
            <w:drawing>
              <wp:anchor distT="0" distB="0" distL="114300" distR="114300" simplePos="0" relativeHeight="251719680" behindDoc="0" locked="0" layoutInCell="1" hidden="1" allowOverlap="1">
                <wp:simplePos x="0" y="0"/>
                <wp:positionH relativeFrom="column">
                  <wp:posOffset>2644775</wp:posOffset>
                </wp:positionH>
                <wp:positionV relativeFrom="paragraph">
                  <wp:posOffset>-192405</wp:posOffset>
                </wp:positionV>
                <wp:extent cx="0" cy="539750"/>
                <wp:effectExtent l="0" t="0" r="0" b="0"/>
                <wp:wrapNone/>
                <wp:docPr id="103" name="直接连接符 103" hidden="1"/>
                <wp:cNvGraphicFramePr/>
                <a:graphic xmlns:a="http://schemas.openxmlformats.org/drawingml/2006/main">
                  <a:graphicData uri="http://schemas.microsoft.com/office/word/2010/wordprocessingShape">
                    <wps:wsp>
                      <wps:cNvCnPr/>
                      <wps:spPr>
                        <a:xfrm>
                          <a:off x="3364865" y="1037590"/>
                          <a:ext cx="0" cy="53975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208.25pt;margin-top:-15.15pt;height:42.5pt;width:0pt;visibility:hidden;z-index:251719680;mso-width-relative:page;mso-height-relative:page;" filled="f" stroked="t" coordsize="21600,21600" o:gfxdata="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AbTLSrZAAAACgEAAA8AAAAAAAAAAQAgAAAAIgAAAGRycy9kb3ducmV2&#10;LnhtbFBLAQIUABQAAAAIAIdO4kBl9636+wEAAMsDAAAOAAAAAAAAAAEAIAAAACgBAABkcnMvZTJv&#10;RG9jLnhtbFBLBQYAAAAABgAGAFkBAACVBQ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718656" behindDoc="0" locked="0" layoutInCell="1" hidden="1" allowOverlap="1">
                <wp:simplePos x="0" y="0"/>
                <wp:positionH relativeFrom="column">
                  <wp:posOffset>-157480</wp:posOffset>
                </wp:positionH>
                <wp:positionV relativeFrom="paragraph">
                  <wp:posOffset>-200025</wp:posOffset>
                </wp:positionV>
                <wp:extent cx="3460750" cy="0"/>
                <wp:effectExtent l="0" t="0" r="0" b="0"/>
                <wp:wrapNone/>
                <wp:docPr id="104" name="直接连接符 104" hidden="1"/>
                <wp:cNvGraphicFramePr/>
                <a:graphic xmlns:a="http://schemas.openxmlformats.org/drawingml/2006/main">
                  <a:graphicData uri="http://schemas.microsoft.com/office/word/2010/wordprocessingShape">
                    <wps:wsp>
                      <wps:cNvCnPr/>
                      <wps:spPr>
                        <a:xfrm>
                          <a:off x="911860" y="1029970"/>
                          <a:ext cx="346075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12.4pt;margin-top:-15.75pt;height:0pt;width:272.5pt;visibility:hidden;z-index:251718656;mso-width-relative:page;mso-height-relative:page;" filled="f" stroked="t" coordsize="21600,21600" o:gfxdata="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GlzmOXZAAAACwEAAA8AAAAAAAAAAQAgAAAAIgAAAGRycy9kb3ducmV2&#10;LnhtbFBLAQIUABQAAAAIAIdO4kAL/w2z+wEAAMsDAAAOAAAAAAAAAAEAIAAAACgBAABkcnMvZTJv&#10;RG9jLnhtbFBLBQYAAAAABgAGAFkBAACVBQ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717632" behindDoc="0" locked="0" layoutInCell="1" hidden="1" allowOverlap="1">
                <wp:simplePos x="0" y="0"/>
                <wp:positionH relativeFrom="column">
                  <wp:posOffset>374650</wp:posOffset>
                </wp:positionH>
                <wp:positionV relativeFrom="paragraph">
                  <wp:posOffset>-1224280</wp:posOffset>
                </wp:positionV>
                <wp:extent cx="0" cy="899795"/>
                <wp:effectExtent l="0" t="0" r="0" b="0"/>
                <wp:wrapNone/>
                <wp:docPr id="105" name="直接连接符 105" hidden="1"/>
                <wp:cNvGraphicFramePr/>
                <a:graphic xmlns:a="http://schemas.openxmlformats.org/drawingml/2006/main">
                  <a:graphicData uri="http://schemas.microsoft.com/office/word/2010/wordprocessingShape">
                    <wps:wsp>
                      <wps:cNvCnPr/>
                      <wps:spPr>
                        <a:xfrm>
                          <a:off x="1094740" y="5715"/>
                          <a:ext cx="0" cy="89979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29.5pt;margin-top:-96.4pt;height:70.85pt;width:0pt;visibility:hidden;z-index:251717632;mso-width-relative:page;mso-height-relative:page;" filled="f" stroked="t" coordsize="21600,21600" o:gfxdata="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D9YIj7YAAAACgEAAA8AAAAAAAAAAQAgAAAAIgAAAGRycy9kb3ducmV2Lnht&#10;bFBLAQIUABQAAAAIAIdO4kB7AWlE+QEAAMgDAAAOAAAAAAAAAAEAIAAAACcBAABkcnMvZTJvRG9j&#10;LnhtbFBLBQYAAAAABgAGAFkBAACSBQAAAAA=&#10;">
                <v:fill on="f" focussize="0,0"/>
                <v:stroke weight="0.5pt" color="#ED7D31 [3205]" miterlimit="8" joinstyle="miter"/>
                <v:imagedata o:title=""/>
                <o:lock v:ext="edit" aspectratio="f"/>
              </v:line>
            </w:pict>
          </mc:Fallback>
        </mc:AlternateContent>
      </w:r>
      <w:r>
        <w:rPr>
          <w:rFonts w:hint="eastAsia"/>
          <w:highlight w:val="none"/>
        </w:rPr>
        <w:t>附　录　</w:t>
      </w:r>
      <w:r>
        <w:rPr>
          <w:rFonts w:hint="eastAsia"/>
          <w:highlight w:val="none"/>
          <w:lang w:val="en-US" w:eastAsia="zh-CN"/>
        </w:rPr>
        <w:t>B</w:t>
      </w:r>
      <w:bookmarkEnd w:id="149"/>
    </w:p>
    <w:p w14:paraId="089CC22E">
      <w:pPr>
        <w:jc w:val="center"/>
        <w:rPr>
          <w:rFonts w:ascii="黑体" w:hAnsi="黑体" w:eastAsia="黑体" w:cs="黑体"/>
          <w:highlight w:val="none"/>
        </w:rPr>
      </w:pPr>
      <w:r>
        <w:rPr>
          <w:rFonts w:hint="eastAsia" w:ascii="黑体" w:hAnsi="黑体" w:eastAsia="黑体" w:cs="黑体"/>
          <w:highlight w:val="none"/>
        </w:rPr>
        <w:t>（资料性）</w:t>
      </w:r>
    </w:p>
    <w:p w14:paraId="32551235">
      <w:pPr>
        <w:jc w:val="center"/>
        <w:rPr>
          <w:rFonts w:hint="eastAsia" w:ascii="黑体" w:hAnsi="黑体" w:eastAsia="黑体" w:cs="黑体"/>
          <w:highlight w:val="none"/>
        </w:rPr>
      </w:pPr>
      <w:r>
        <w:rPr>
          <w:rFonts w:hint="default" w:ascii="黑体" w:hAnsi="黑体" w:eastAsia="黑体" w:cs="黑体"/>
          <w:highlight w:val="none"/>
          <w:lang w:val="en-US"/>
        </w:rPr>
        <mc:AlternateContent>
          <mc:Choice Requires="wps">
            <w:drawing>
              <wp:anchor distT="0" distB="0" distL="114300" distR="114300" simplePos="0" relativeHeight="251723776" behindDoc="0" locked="0" layoutInCell="1" hidden="1" allowOverlap="1">
                <wp:simplePos x="0" y="0"/>
                <wp:positionH relativeFrom="column">
                  <wp:posOffset>1581150</wp:posOffset>
                </wp:positionH>
                <wp:positionV relativeFrom="paragraph">
                  <wp:posOffset>170815</wp:posOffset>
                </wp:positionV>
                <wp:extent cx="0" cy="179705"/>
                <wp:effectExtent l="0" t="0" r="0" b="0"/>
                <wp:wrapNone/>
                <wp:docPr id="3" name="直接连接符 3" hidden="1"/>
                <wp:cNvGraphicFramePr/>
                <a:graphic xmlns:a="http://schemas.openxmlformats.org/drawingml/2006/main">
                  <a:graphicData uri="http://schemas.microsoft.com/office/word/2010/wordprocessingShape">
                    <wps:wsp>
                      <wps:cNvCnPr/>
                      <wps:spPr>
                        <a:xfrm>
                          <a:off x="2301240" y="2109470"/>
                          <a:ext cx="0" cy="17970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124.5pt;margin-top:13.45pt;height:14.15pt;width:0pt;visibility:hidden;z-index:251723776;mso-width-relative:page;mso-height-relative:page;" filled="f" stroked="t" coordsize="21600,21600" o:gfxdata="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NMDnrbXAAAACQEAAA8AAAAAAAAAAQAgAAAAIgAAAGRycy9kb3ducmV2Lnht&#10;bFBLAQIUABQAAAAIAIdO4kDGn5AR+gEAAMcDAAAOAAAAAAAAAAEAIAAAACYBAABkcnMvZTJvRG9j&#10;LnhtbFBLBQYAAAAABgAGAFkBAACSBQAAAAA=&#10;">
                <v:fill on="f" focussize="0,0"/>
                <v:stroke weight="0.5pt" color="#ED7D31 [3205]" miterlimit="8" joinstyle="miter"/>
                <v:imagedata o:title=""/>
                <o:lock v:ext="edit" aspectratio="f"/>
              </v:line>
            </w:pict>
          </mc:Fallback>
        </mc:AlternateContent>
      </w:r>
      <w:r>
        <w:rPr>
          <w:rFonts w:hint="eastAsia" w:ascii="黑体" w:hAnsi="黑体" w:eastAsia="黑体" w:cs="黑体"/>
          <w:highlight w:val="none"/>
          <w:lang w:val="en-US" w:eastAsia="zh-CN"/>
        </w:rPr>
        <w:t>常用的安全现状评价方法</w:t>
      </w:r>
    </w:p>
    <w:p w14:paraId="0BCD2269">
      <w:pPr>
        <w:ind w:firstLine="210" w:firstLineChars="100"/>
        <w:rPr>
          <w:rFonts w:hint="eastAsia" w:eastAsia="宋体"/>
          <w:highlight w:val="none"/>
          <w:lang w:eastAsia="zh-CN"/>
        </w:rPr>
      </w:pPr>
      <w:r>
        <w:rPr>
          <w:rFonts w:hint="eastAsia"/>
          <w:highlight w:val="none"/>
        </w:rPr>
        <w:t>常用的</w:t>
      </w:r>
      <w:r>
        <w:rPr>
          <w:rFonts w:hint="eastAsia"/>
          <w:highlight w:val="none"/>
          <w:lang w:val="en-US" w:eastAsia="zh-CN"/>
        </w:rPr>
        <w:t>安全现状</w:t>
      </w:r>
      <w:r>
        <w:rPr>
          <w:rFonts w:hint="eastAsia"/>
          <w:highlight w:val="none"/>
        </w:rPr>
        <w:t>评价方法见表</w:t>
      </w:r>
      <w:r>
        <w:rPr>
          <w:rFonts w:hint="eastAsia"/>
          <w:highlight w:val="none"/>
          <w:lang w:val="en-US" w:eastAsia="zh-CN"/>
        </w:rPr>
        <w:t>B</w:t>
      </w:r>
      <w:r>
        <w:rPr>
          <w:rFonts w:hint="eastAsia"/>
          <w:highlight w:val="none"/>
        </w:rPr>
        <w:t>.1</w:t>
      </w:r>
      <w:r>
        <w:rPr>
          <w:rFonts w:hint="eastAsia"/>
          <w:highlight w:val="none"/>
          <w:lang w:eastAsia="zh-CN"/>
        </w:rPr>
        <w:t>。</w:t>
      </w:r>
    </w:p>
    <w:p w14:paraId="11113044">
      <w:pPr>
        <w:pStyle w:val="162"/>
        <w:numPr>
          <w:ilvl w:val="1"/>
          <w:numId w:val="0"/>
        </w:numPr>
        <w:spacing w:before="120" w:after="120"/>
        <w:ind w:leftChars="0"/>
        <w:rPr>
          <w:highlight w:val="none"/>
        </w:rPr>
      </w:pPr>
      <w:r>
        <w:rPr>
          <w:rFonts w:hint="eastAsia"/>
          <w:highlight w:val="none"/>
          <w:lang w:val="en-US" w:eastAsia="zh-CN"/>
        </w:rPr>
        <w:t xml:space="preserve">表B.1 </w:t>
      </w:r>
      <w:r>
        <w:rPr>
          <w:rFonts w:hint="eastAsia"/>
          <w:highlight w:val="none"/>
        </w:rPr>
        <w:t>各单元常用的</w:t>
      </w:r>
      <w:r>
        <w:rPr>
          <w:rFonts w:hint="eastAsia"/>
          <w:highlight w:val="none"/>
          <w:lang w:val="en-US" w:eastAsia="zh-CN"/>
        </w:rPr>
        <w:t>安全现状</w:t>
      </w:r>
      <w:r>
        <w:rPr>
          <w:rFonts w:hint="eastAsia"/>
          <w:highlight w:val="none"/>
        </w:rPr>
        <w:t>评价方法</w:t>
      </w:r>
    </w:p>
    <w:tbl>
      <w:tblPr>
        <w:tblStyle w:val="36"/>
        <w:tblW w:w="4995" w:type="pct"/>
        <w:tblInd w:w="16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834"/>
        <w:gridCol w:w="2627"/>
        <w:gridCol w:w="5865"/>
      </w:tblGrid>
      <w:tr w14:paraId="0F8214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47" w:type="pct"/>
            <w:tcBorders>
              <w:top w:val="single" w:color="auto" w:sz="8" w:space="0"/>
              <w:left w:val="single" w:color="auto" w:sz="8" w:space="0"/>
              <w:bottom w:val="single" w:color="auto" w:sz="8" w:space="0"/>
              <w:right w:val="single" w:color="auto" w:sz="4" w:space="0"/>
            </w:tcBorders>
            <w:tcMar>
              <w:left w:w="28" w:type="dxa"/>
              <w:right w:w="28" w:type="dxa"/>
            </w:tcMar>
            <w:vAlign w:val="center"/>
          </w:tcPr>
          <w:p w14:paraId="334161DC">
            <w:pPr>
              <w:keepNext w:val="0"/>
              <w:keepLines w:val="0"/>
              <w:widowControl/>
              <w:suppressLineNumbers w:val="0"/>
              <w:overflowPunct w:val="0"/>
              <w:autoSpaceDE w:val="0"/>
              <w:autoSpaceDN w:val="0"/>
              <w:spacing w:before="40" w:beforeAutospacing="0" w:after="40" w:afterAutospacing="0" w:line="240" w:lineRule="auto"/>
              <w:ind w:left="0" w:right="0"/>
              <w:jc w:val="center"/>
              <w:textAlignment w:val="baseline"/>
              <w:rPr>
                <w:rFonts w:hint="default"/>
                <w:b/>
                <w:color w:val="000000"/>
                <w:kern w:val="0"/>
                <w:sz w:val="18"/>
                <w:szCs w:val="18"/>
                <w:highlight w:val="none"/>
              </w:rPr>
            </w:pPr>
            <w:r>
              <w:rPr>
                <w:rFonts w:hint="eastAsia" w:ascii="宋体" w:hAnsi="宋体" w:cs="宋体"/>
                <w:b/>
                <w:color w:val="000000"/>
                <w:kern w:val="0"/>
                <w:sz w:val="18"/>
                <w:szCs w:val="18"/>
                <w:highlight w:val="none"/>
              </w:rPr>
              <w:t>序号</w:t>
            </w:r>
          </w:p>
        </w:tc>
        <w:tc>
          <w:tcPr>
            <w:tcW w:w="1408" w:type="pct"/>
            <w:tcBorders>
              <w:top w:val="single" w:color="auto" w:sz="8" w:space="0"/>
              <w:left w:val="single" w:color="auto" w:sz="4" w:space="0"/>
              <w:bottom w:val="single" w:color="auto" w:sz="8" w:space="0"/>
              <w:right w:val="single" w:color="auto" w:sz="4" w:space="0"/>
            </w:tcBorders>
            <w:tcMar>
              <w:left w:w="28" w:type="dxa"/>
              <w:right w:w="28" w:type="dxa"/>
            </w:tcMar>
            <w:vAlign w:val="center"/>
          </w:tcPr>
          <w:p w14:paraId="7A048D61">
            <w:pPr>
              <w:keepNext w:val="0"/>
              <w:keepLines w:val="0"/>
              <w:widowControl/>
              <w:suppressLineNumbers w:val="0"/>
              <w:overflowPunct w:val="0"/>
              <w:autoSpaceDE w:val="0"/>
              <w:autoSpaceDN w:val="0"/>
              <w:spacing w:before="40" w:beforeAutospacing="0" w:after="40" w:afterAutospacing="0" w:line="240" w:lineRule="auto"/>
              <w:ind w:left="0" w:right="0"/>
              <w:jc w:val="center"/>
              <w:textAlignment w:val="baseline"/>
              <w:rPr>
                <w:rFonts w:hint="default"/>
                <w:b/>
                <w:color w:val="000000"/>
                <w:kern w:val="0"/>
                <w:sz w:val="18"/>
                <w:szCs w:val="18"/>
                <w:highlight w:val="none"/>
              </w:rPr>
            </w:pPr>
            <w:r>
              <w:rPr>
                <w:rFonts w:hint="eastAsia" w:ascii="宋体" w:hAnsi="宋体" w:cs="宋体"/>
                <w:b/>
                <w:color w:val="000000"/>
                <w:kern w:val="0"/>
                <w:sz w:val="18"/>
                <w:szCs w:val="18"/>
                <w:highlight w:val="none"/>
              </w:rPr>
              <w:t>评价单元</w:t>
            </w:r>
          </w:p>
        </w:tc>
        <w:tc>
          <w:tcPr>
            <w:tcW w:w="3144" w:type="pct"/>
            <w:tcBorders>
              <w:top w:val="single" w:color="auto" w:sz="8" w:space="0"/>
              <w:left w:val="single" w:color="auto" w:sz="4" w:space="0"/>
              <w:bottom w:val="single" w:color="auto" w:sz="8" w:space="0"/>
              <w:right w:val="single" w:color="auto" w:sz="8" w:space="0"/>
            </w:tcBorders>
            <w:tcMar>
              <w:left w:w="28" w:type="dxa"/>
              <w:right w:w="28" w:type="dxa"/>
            </w:tcMar>
            <w:vAlign w:val="center"/>
          </w:tcPr>
          <w:p w14:paraId="4EBE6CBE">
            <w:pPr>
              <w:keepNext w:val="0"/>
              <w:keepLines w:val="0"/>
              <w:widowControl/>
              <w:suppressLineNumbers w:val="0"/>
              <w:overflowPunct w:val="0"/>
              <w:autoSpaceDE w:val="0"/>
              <w:autoSpaceDN w:val="0"/>
              <w:spacing w:before="40" w:beforeAutospacing="0" w:after="40" w:afterAutospacing="0" w:line="240" w:lineRule="auto"/>
              <w:ind w:left="0" w:right="0"/>
              <w:jc w:val="center"/>
              <w:textAlignment w:val="baseline"/>
              <w:rPr>
                <w:rFonts w:hint="default"/>
                <w:b/>
                <w:color w:val="000000"/>
                <w:kern w:val="0"/>
                <w:sz w:val="18"/>
                <w:szCs w:val="18"/>
                <w:highlight w:val="none"/>
              </w:rPr>
            </w:pPr>
            <w:r>
              <w:rPr>
                <w:rFonts w:hint="eastAsia" w:ascii="宋体" w:hAnsi="宋体" w:cs="宋体"/>
                <w:b/>
                <w:color w:val="000000"/>
                <w:kern w:val="0"/>
                <w:sz w:val="18"/>
                <w:szCs w:val="18"/>
                <w:highlight w:val="none"/>
                <w:lang w:val="en-US" w:eastAsia="zh-CN"/>
              </w:rPr>
              <w:t>常用的</w:t>
            </w:r>
            <w:r>
              <w:rPr>
                <w:rFonts w:hint="eastAsia" w:ascii="宋体" w:hAnsi="宋体" w:cs="宋体"/>
                <w:b/>
                <w:color w:val="000000"/>
                <w:kern w:val="0"/>
                <w:sz w:val="18"/>
                <w:szCs w:val="18"/>
                <w:highlight w:val="none"/>
              </w:rPr>
              <w:t>评价方法</w:t>
            </w:r>
          </w:p>
        </w:tc>
      </w:tr>
      <w:tr w14:paraId="078E74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61" w:hRule="atLeast"/>
        </w:trPr>
        <w:tc>
          <w:tcPr>
            <w:tcW w:w="447" w:type="pct"/>
            <w:tcBorders>
              <w:top w:val="single" w:color="auto" w:sz="8" w:space="0"/>
              <w:left w:val="single" w:color="auto" w:sz="8" w:space="0"/>
              <w:bottom w:val="single" w:color="auto" w:sz="4" w:space="0"/>
              <w:right w:val="single" w:color="auto" w:sz="4" w:space="0"/>
            </w:tcBorders>
            <w:tcMar>
              <w:left w:w="28" w:type="dxa"/>
              <w:right w:w="28" w:type="dxa"/>
            </w:tcMar>
            <w:vAlign w:val="center"/>
          </w:tcPr>
          <w:p w14:paraId="07E6D6B0">
            <w:pPr>
              <w:keepNext w:val="0"/>
              <w:keepLines w:val="0"/>
              <w:widowControl/>
              <w:suppressLineNumbers w:val="0"/>
              <w:overflowPunct w:val="0"/>
              <w:autoSpaceDE w:val="0"/>
              <w:autoSpaceDN w:val="0"/>
              <w:spacing w:before="40" w:beforeAutospacing="0" w:after="40" w:afterAutospacing="0" w:line="240" w:lineRule="auto"/>
              <w:ind w:left="0" w:right="0"/>
              <w:jc w:val="center"/>
              <w:textAlignment w:val="baseline"/>
              <w:rPr>
                <w:rFonts w:hint="eastAsia" w:ascii="宋体" w:hAnsi="宋体" w:eastAsia="宋体" w:cs="宋体"/>
                <w:color w:val="000000"/>
                <w:kern w:val="0"/>
                <w:sz w:val="18"/>
                <w:szCs w:val="18"/>
                <w:highlight w:val="none"/>
              </w:rPr>
            </w:pPr>
            <w:r>
              <w:rPr>
                <w:rFonts w:hint="eastAsia" w:ascii="宋体" w:hAnsi="宋体" w:eastAsia="宋体" w:cs="宋体"/>
                <w:color w:val="000000"/>
                <w:kern w:val="0"/>
                <w:sz w:val="18"/>
                <w:szCs w:val="18"/>
                <w:highlight w:val="none"/>
              </w:rPr>
              <w:t>1</w:t>
            </w:r>
          </w:p>
        </w:tc>
        <w:tc>
          <w:tcPr>
            <w:tcW w:w="1408" w:type="pct"/>
            <w:tcBorders>
              <w:top w:val="single" w:color="auto" w:sz="8" w:space="0"/>
              <w:left w:val="single" w:color="auto" w:sz="4" w:space="0"/>
              <w:bottom w:val="single" w:color="auto" w:sz="4" w:space="0"/>
              <w:right w:val="single" w:color="auto" w:sz="4" w:space="0"/>
            </w:tcBorders>
            <w:tcMar>
              <w:left w:w="28" w:type="dxa"/>
              <w:right w:w="28" w:type="dxa"/>
            </w:tcMar>
            <w:vAlign w:val="center"/>
          </w:tcPr>
          <w:p w14:paraId="28B9C049">
            <w:pPr>
              <w:keepNext w:val="0"/>
              <w:keepLines w:val="0"/>
              <w:widowControl/>
              <w:suppressLineNumbers w:val="0"/>
              <w:overflowPunct w:val="0"/>
              <w:autoSpaceDE w:val="0"/>
              <w:autoSpaceDN w:val="0"/>
              <w:spacing w:before="40" w:beforeAutospacing="0" w:after="40" w:afterAutospacing="0" w:line="240" w:lineRule="auto"/>
              <w:ind w:left="0" w:right="0"/>
              <w:jc w:val="center"/>
              <w:textAlignment w:val="baseline"/>
              <w:rPr>
                <w:rFonts w:hint="default"/>
                <w:color w:val="000000"/>
                <w:kern w:val="0"/>
                <w:sz w:val="18"/>
                <w:szCs w:val="18"/>
                <w:highlight w:val="none"/>
              </w:rPr>
            </w:pPr>
            <w:r>
              <w:rPr>
                <w:rFonts w:hint="eastAsia" w:ascii="宋体" w:hAnsi="宋体" w:cs="宋体"/>
                <w:color w:val="000000"/>
                <w:kern w:val="0"/>
                <w:sz w:val="18"/>
                <w:szCs w:val="18"/>
                <w:highlight w:val="none"/>
                <w:lang w:val="en-US" w:eastAsia="zh-CN"/>
              </w:rPr>
              <w:t>设备设施</w:t>
            </w:r>
            <w:r>
              <w:rPr>
                <w:rFonts w:hint="eastAsia" w:ascii="宋体" w:hAnsi="宋体" w:cs="宋体"/>
                <w:color w:val="000000"/>
                <w:kern w:val="0"/>
                <w:sz w:val="18"/>
                <w:szCs w:val="18"/>
                <w:highlight w:val="none"/>
              </w:rPr>
              <w:t>单元</w:t>
            </w:r>
          </w:p>
        </w:tc>
        <w:tc>
          <w:tcPr>
            <w:tcW w:w="3144" w:type="pct"/>
            <w:tcBorders>
              <w:top w:val="single" w:color="auto" w:sz="8" w:space="0"/>
              <w:left w:val="single" w:color="auto" w:sz="4" w:space="0"/>
              <w:bottom w:val="single" w:color="auto" w:sz="4" w:space="0"/>
              <w:right w:val="single" w:color="auto" w:sz="8" w:space="0"/>
            </w:tcBorders>
            <w:tcMar>
              <w:left w:w="28" w:type="dxa"/>
              <w:right w:w="28" w:type="dxa"/>
            </w:tcMar>
            <w:vAlign w:val="center"/>
          </w:tcPr>
          <w:p w14:paraId="48F76E14">
            <w:pPr>
              <w:keepNext w:val="0"/>
              <w:keepLines w:val="0"/>
              <w:suppressLineNumbers w:val="0"/>
              <w:spacing w:before="0" w:beforeAutospacing="0" w:after="0" w:afterAutospacing="0" w:line="240" w:lineRule="auto"/>
              <w:ind w:left="0" w:right="0"/>
              <w:jc w:val="left"/>
              <w:rPr>
                <w:rFonts w:hint="eastAsia" w:eastAsia="宋体"/>
                <w:color w:val="000000"/>
                <w:sz w:val="18"/>
                <w:szCs w:val="18"/>
                <w:highlight w:val="none"/>
                <w:lang w:eastAsia="zh-CN"/>
              </w:rPr>
            </w:pPr>
            <w:r>
              <w:rPr>
                <w:rFonts w:hint="eastAsia" w:ascii="宋体" w:hAnsi="宋体" w:cs="宋体"/>
                <w:color w:val="000000"/>
                <w:sz w:val="18"/>
                <w:szCs w:val="18"/>
                <w:highlight w:val="none"/>
              </w:rPr>
              <w:t>安全检查表法</w:t>
            </w:r>
            <w:r>
              <w:rPr>
                <w:rFonts w:hint="eastAsia" w:ascii="宋体" w:hAnsi="宋体" w:cs="宋体"/>
                <w:color w:val="000000"/>
                <w:kern w:val="0"/>
                <w:sz w:val="18"/>
                <w:szCs w:val="18"/>
                <w:highlight w:val="none"/>
              </w:rPr>
              <w:t>、专家评议法、预先危险性分析法、火灾爆炸危险指数评价法、定量风险评价</w:t>
            </w:r>
            <w:r>
              <w:rPr>
                <w:rFonts w:hint="eastAsia" w:ascii="宋体" w:hAnsi="宋体" w:cs="宋体"/>
                <w:sz w:val="18"/>
                <w:szCs w:val="18"/>
                <w:highlight w:val="none"/>
                <w:lang w:val="en-US" w:eastAsia="zh-CN"/>
              </w:rPr>
              <w:t>法</w:t>
            </w:r>
            <w:r>
              <w:rPr>
                <w:rFonts w:hint="eastAsia" w:ascii="宋体" w:hAnsi="宋体" w:cs="宋体"/>
                <w:color w:val="000000"/>
                <w:kern w:val="0"/>
                <w:sz w:val="18"/>
                <w:szCs w:val="18"/>
                <w:highlight w:val="none"/>
              </w:rPr>
              <w:t>、类比分析法、</w:t>
            </w:r>
            <w:r>
              <w:rPr>
                <w:rFonts w:hint="eastAsia" w:ascii="宋体" w:hAnsi="宋体" w:cs="宋体"/>
                <w:kern w:val="0"/>
                <w:sz w:val="18"/>
                <w:szCs w:val="18"/>
                <w:highlight w:val="none"/>
              </w:rPr>
              <w:t>事故树分析</w:t>
            </w:r>
            <w:r>
              <w:rPr>
                <w:rFonts w:hint="eastAsia" w:ascii="宋体" w:hAnsi="宋体" w:cs="宋体"/>
                <w:sz w:val="18"/>
                <w:szCs w:val="18"/>
                <w:highlight w:val="none"/>
                <w:lang w:val="en-US" w:eastAsia="zh-CN"/>
              </w:rPr>
              <w:t>法</w:t>
            </w:r>
            <w:r>
              <w:rPr>
                <w:rFonts w:hint="eastAsia" w:ascii="宋体" w:hAnsi="宋体" w:cs="宋体"/>
                <w:kern w:val="0"/>
                <w:sz w:val="18"/>
                <w:szCs w:val="18"/>
                <w:highlight w:val="none"/>
              </w:rPr>
              <w:t>、事件树分析</w:t>
            </w:r>
            <w:r>
              <w:rPr>
                <w:rFonts w:hint="eastAsia" w:ascii="宋体" w:hAnsi="宋体" w:cs="宋体"/>
                <w:sz w:val="18"/>
                <w:szCs w:val="18"/>
                <w:highlight w:val="none"/>
                <w:lang w:val="en-US" w:eastAsia="zh-CN"/>
              </w:rPr>
              <w:t>法</w:t>
            </w:r>
            <w:r>
              <w:rPr>
                <w:rFonts w:hint="eastAsia" w:ascii="宋体" w:hAnsi="宋体" w:cs="宋体"/>
                <w:kern w:val="0"/>
                <w:sz w:val="18"/>
                <w:szCs w:val="18"/>
                <w:highlight w:val="none"/>
              </w:rPr>
              <w:t>、</w:t>
            </w:r>
            <w:r>
              <w:rPr>
                <w:rFonts w:hint="eastAsia" w:ascii="宋体" w:hAnsi="宋体" w:cs="宋体"/>
                <w:kern w:val="0"/>
                <w:sz w:val="18"/>
                <w:szCs w:val="18"/>
                <w:highlight w:val="none"/>
                <w:lang w:val="en-US" w:eastAsia="zh-CN"/>
              </w:rPr>
              <w:t>作业</w:t>
            </w:r>
            <w:r>
              <w:rPr>
                <w:rFonts w:hint="eastAsia" w:ascii="宋体" w:hAnsi="宋体" w:cs="宋体"/>
                <w:kern w:val="0"/>
                <w:sz w:val="18"/>
                <w:szCs w:val="18"/>
                <w:highlight w:val="none"/>
              </w:rPr>
              <w:t>条件危险性评价</w:t>
            </w:r>
            <w:r>
              <w:rPr>
                <w:rFonts w:hint="eastAsia" w:ascii="宋体" w:hAnsi="宋体" w:cs="宋体"/>
                <w:sz w:val="18"/>
                <w:szCs w:val="18"/>
                <w:highlight w:val="none"/>
                <w:lang w:val="en-US" w:eastAsia="zh-CN"/>
              </w:rPr>
              <w:t>法</w:t>
            </w:r>
            <w:r>
              <w:rPr>
                <w:rFonts w:hint="eastAsia" w:ascii="宋体" w:hAnsi="宋体" w:cs="宋体"/>
                <w:kern w:val="0"/>
                <w:sz w:val="18"/>
                <w:szCs w:val="18"/>
                <w:highlight w:val="none"/>
              </w:rPr>
              <w:t>、风险矩阵法</w:t>
            </w:r>
            <w:r>
              <w:rPr>
                <w:rFonts w:hint="eastAsia" w:ascii="宋体" w:hAnsi="宋体" w:cs="宋体"/>
                <w:kern w:val="0"/>
                <w:sz w:val="18"/>
                <w:szCs w:val="18"/>
                <w:highlight w:val="none"/>
                <w:lang w:val="en-US" w:eastAsia="zh-CN"/>
              </w:rPr>
              <w:t>等</w:t>
            </w:r>
          </w:p>
        </w:tc>
      </w:tr>
      <w:tr w14:paraId="5A9B53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447" w:type="pct"/>
            <w:tcBorders>
              <w:top w:val="single" w:color="auto" w:sz="4" w:space="0"/>
              <w:left w:val="single" w:color="auto" w:sz="8" w:space="0"/>
              <w:bottom w:val="single" w:color="auto" w:sz="4" w:space="0"/>
              <w:right w:val="single" w:color="auto" w:sz="4" w:space="0"/>
            </w:tcBorders>
            <w:tcMar>
              <w:left w:w="28" w:type="dxa"/>
              <w:right w:w="28" w:type="dxa"/>
            </w:tcMar>
            <w:vAlign w:val="center"/>
          </w:tcPr>
          <w:p w14:paraId="5BD9FDBB">
            <w:pPr>
              <w:keepNext w:val="0"/>
              <w:keepLines w:val="0"/>
              <w:widowControl/>
              <w:suppressLineNumbers w:val="0"/>
              <w:overflowPunct w:val="0"/>
              <w:autoSpaceDE w:val="0"/>
              <w:autoSpaceDN w:val="0"/>
              <w:spacing w:before="40" w:beforeAutospacing="0" w:after="40" w:afterAutospacing="0" w:line="240" w:lineRule="auto"/>
              <w:ind w:left="0" w:right="0"/>
              <w:jc w:val="center"/>
              <w:textAlignment w:val="baseline"/>
              <w:rPr>
                <w:rFonts w:hint="eastAsia" w:ascii="宋体" w:hAnsi="宋体" w:eastAsia="宋体" w:cs="宋体"/>
                <w:color w:val="000000"/>
                <w:kern w:val="0"/>
                <w:sz w:val="18"/>
                <w:szCs w:val="18"/>
                <w:highlight w:val="none"/>
              </w:rPr>
            </w:pPr>
            <w:r>
              <w:rPr>
                <w:rFonts w:hint="eastAsia" w:ascii="宋体" w:hAnsi="宋体" w:eastAsia="宋体" w:cs="宋体"/>
                <w:color w:val="000000"/>
                <w:kern w:val="0"/>
                <w:sz w:val="18"/>
                <w:szCs w:val="18"/>
                <w:highlight w:val="none"/>
              </w:rPr>
              <w:t>2</w:t>
            </w:r>
          </w:p>
        </w:tc>
        <w:tc>
          <w:tcPr>
            <w:tcW w:w="1408" w:type="pct"/>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2898EC12">
            <w:pPr>
              <w:keepNext w:val="0"/>
              <w:keepLines w:val="0"/>
              <w:widowControl/>
              <w:suppressLineNumbers w:val="0"/>
              <w:overflowPunct w:val="0"/>
              <w:autoSpaceDE w:val="0"/>
              <w:autoSpaceDN w:val="0"/>
              <w:spacing w:before="40" w:beforeAutospacing="0" w:after="40" w:afterAutospacing="0" w:line="240" w:lineRule="auto"/>
              <w:ind w:left="0" w:right="0"/>
              <w:jc w:val="center"/>
              <w:textAlignment w:val="baseline"/>
              <w:rPr>
                <w:rFonts w:hint="default"/>
                <w:color w:val="000000"/>
                <w:kern w:val="0"/>
                <w:sz w:val="18"/>
                <w:szCs w:val="18"/>
                <w:highlight w:val="none"/>
              </w:rPr>
            </w:pPr>
            <w:r>
              <w:rPr>
                <w:rFonts w:hint="eastAsia" w:ascii="宋体" w:hAnsi="宋体" w:cs="宋体"/>
                <w:color w:val="000000"/>
                <w:kern w:val="0"/>
                <w:sz w:val="18"/>
                <w:szCs w:val="18"/>
                <w:highlight w:val="none"/>
                <w:lang w:val="en-US" w:eastAsia="zh-CN"/>
              </w:rPr>
              <w:t>生产作业活动</w:t>
            </w:r>
            <w:r>
              <w:rPr>
                <w:rFonts w:hint="eastAsia" w:ascii="宋体" w:hAnsi="宋体" w:cs="宋体"/>
                <w:color w:val="000000"/>
                <w:kern w:val="0"/>
                <w:sz w:val="18"/>
                <w:szCs w:val="18"/>
                <w:highlight w:val="none"/>
              </w:rPr>
              <w:t>单元</w:t>
            </w:r>
          </w:p>
        </w:tc>
        <w:tc>
          <w:tcPr>
            <w:tcW w:w="3144" w:type="pct"/>
            <w:tcBorders>
              <w:top w:val="single" w:color="auto" w:sz="4" w:space="0"/>
              <w:left w:val="single" w:color="auto" w:sz="4" w:space="0"/>
              <w:bottom w:val="single" w:color="auto" w:sz="4" w:space="0"/>
              <w:right w:val="single" w:color="auto" w:sz="8" w:space="0"/>
            </w:tcBorders>
            <w:tcMar>
              <w:left w:w="28" w:type="dxa"/>
              <w:right w:w="28" w:type="dxa"/>
            </w:tcMar>
            <w:vAlign w:val="center"/>
          </w:tcPr>
          <w:p w14:paraId="4615D891">
            <w:pPr>
              <w:keepNext w:val="0"/>
              <w:keepLines w:val="0"/>
              <w:widowControl/>
              <w:suppressLineNumbers w:val="0"/>
              <w:overflowPunct w:val="0"/>
              <w:autoSpaceDE w:val="0"/>
              <w:autoSpaceDN w:val="0"/>
              <w:spacing w:before="40" w:beforeAutospacing="0" w:after="40" w:afterAutospacing="0" w:line="240" w:lineRule="auto"/>
              <w:ind w:left="0" w:right="0"/>
              <w:jc w:val="left"/>
              <w:textAlignment w:val="baseline"/>
              <w:rPr>
                <w:rFonts w:hint="eastAsia" w:eastAsia="宋体"/>
                <w:color w:val="000000"/>
                <w:kern w:val="0"/>
                <w:sz w:val="18"/>
                <w:szCs w:val="18"/>
                <w:highlight w:val="none"/>
                <w:lang w:eastAsia="zh-CN"/>
              </w:rPr>
            </w:pPr>
            <w:r>
              <w:rPr>
                <w:rFonts w:hint="eastAsia" w:ascii="宋体" w:hAnsi="宋体" w:cs="宋体"/>
                <w:color w:val="000000"/>
                <w:sz w:val="18"/>
                <w:szCs w:val="18"/>
                <w:highlight w:val="none"/>
              </w:rPr>
              <w:t>安全检查表法</w:t>
            </w:r>
            <w:r>
              <w:rPr>
                <w:rFonts w:hint="eastAsia" w:ascii="宋体" w:hAnsi="宋体" w:cs="宋体"/>
                <w:color w:val="000000"/>
                <w:kern w:val="0"/>
                <w:sz w:val="18"/>
                <w:szCs w:val="18"/>
                <w:highlight w:val="none"/>
              </w:rPr>
              <w:t>、专家评议法、预先危险性分析法、火灾爆炸危险指数评价法、定量风险评价</w:t>
            </w:r>
            <w:r>
              <w:rPr>
                <w:rFonts w:hint="eastAsia" w:ascii="宋体" w:hAnsi="宋体" w:cs="宋体"/>
                <w:sz w:val="18"/>
                <w:szCs w:val="18"/>
                <w:highlight w:val="none"/>
                <w:lang w:val="en-US" w:eastAsia="zh-CN"/>
              </w:rPr>
              <w:t>法</w:t>
            </w:r>
            <w:r>
              <w:rPr>
                <w:rFonts w:hint="eastAsia" w:ascii="宋体" w:hAnsi="宋体" w:cs="宋体"/>
                <w:color w:val="000000"/>
                <w:kern w:val="0"/>
                <w:sz w:val="18"/>
                <w:szCs w:val="18"/>
                <w:highlight w:val="none"/>
              </w:rPr>
              <w:t>、类比分析法、</w:t>
            </w:r>
            <w:r>
              <w:rPr>
                <w:rFonts w:hint="eastAsia" w:ascii="宋体" w:hAnsi="宋体" w:cs="宋体"/>
                <w:kern w:val="0"/>
                <w:sz w:val="18"/>
                <w:szCs w:val="18"/>
                <w:highlight w:val="none"/>
              </w:rPr>
              <w:t>事故树分析</w:t>
            </w:r>
            <w:r>
              <w:rPr>
                <w:rFonts w:hint="eastAsia" w:ascii="宋体" w:hAnsi="宋体" w:cs="宋体"/>
                <w:sz w:val="18"/>
                <w:szCs w:val="18"/>
                <w:highlight w:val="none"/>
                <w:lang w:val="en-US" w:eastAsia="zh-CN"/>
              </w:rPr>
              <w:t>法</w:t>
            </w:r>
            <w:r>
              <w:rPr>
                <w:rFonts w:hint="eastAsia" w:ascii="宋体" w:hAnsi="宋体" w:cs="宋体"/>
                <w:kern w:val="0"/>
                <w:sz w:val="18"/>
                <w:szCs w:val="18"/>
                <w:highlight w:val="none"/>
              </w:rPr>
              <w:t>、事件树分析</w:t>
            </w:r>
            <w:r>
              <w:rPr>
                <w:rFonts w:hint="eastAsia" w:ascii="宋体" w:hAnsi="宋体" w:cs="宋体"/>
                <w:sz w:val="18"/>
                <w:szCs w:val="18"/>
                <w:highlight w:val="none"/>
                <w:lang w:val="en-US" w:eastAsia="zh-CN"/>
              </w:rPr>
              <w:t>法</w:t>
            </w:r>
            <w:r>
              <w:rPr>
                <w:rFonts w:hint="eastAsia" w:ascii="宋体" w:hAnsi="宋体" w:cs="宋体"/>
                <w:kern w:val="0"/>
                <w:sz w:val="18"/>
                <w:szCs w:val="18"/>
                <w:highlight w:val="none"/>
              </w:rPr>
              <w:t>、</w:t>
            </w:r>
            <w:r>
              <w:rPr>
                <w:rFonts w:hint="eastAsia" w:ascii="宋体" w:hAnsi="宋体" w:cs="宋体"/>
                <w:kern w:val="0"/>
                <w:sz w:val="18"/>
                <w:szCs w:val="18"/>
                <w:highlight w:val="none"/>
                <w:lang w:val="en-US" w:eastAsia="zh-CN"/>
              </w:rPr>
              <w:t>作业</w:t>
            </w:r>
            <w:r>
              <w:rPr>
                <w:rFonts w:hint="eastAsia" w:ascii="宋体" w:hAnsi="宋体" w:cs="宋体"/>
                <w:kern w:val="0"/>
                <w:sz w:val="18"/>
                <w:szCs w:val="18"/>
                <w:highlight w:val="none"/>
              </w:rPr>
              <w:t>条件危险性评价</w:t>
            </w:r>
            <w:r>
              <w:rPr>
                <w:rFonts w:hint="eastAsia" w:ascii="宋体" w:hAnsi="宋体" w:cs="宋体"/>
                <w:sz w:val="18"/>
                <w:szCs w:val="18"/>
                <w:highlight w:val="none"/>
                <w:lang w:val="en-US" w:eastAsia="zh-CN"/>
              </w:rPr>
              <w:t>法</w:t>
            </w:r>
            <w:r>
              <w:rPr>
                <w:rFonts w:hint="eastAsia" w:ascii="宋体" w:hAnsi="宋体" w:cs="宋体"/>
                <w:kern w:val="0"/>
                <w:sz w:val="18"/>
                <w:szCs w:val="18"/>
                <w:highlight w:val="none"/>
              </w:rPr>
              <w:t>、风险矩阵法</w:t>
            </w:r>
            <w:r>
              <w:rPr>
                <w:rFonts w:hint="eastAsia" w:ascii="宋体" w:hAnsi="宋体" w:cs="宋体"/>
                <w:kern w:val="0"/>
                <w:sz w:val="18"/>
                <w:szCs w:val="18"/>
                <w:highlight w:val="none"/>
                <w:lang w:val="en-US" w:eastAsia="zh-CN"/>
              </w:rPr>
              <w:t>等</w:t>
            </w:r>
          </w:p>
        </w:tc>
      </w:tr>
      <w:tr w14:paraId="490375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47" w:type="pct"/>
            <w:tcBorders>
              <w:top w:val="single" w:color="auto" w:sz="4" w:space="0"/>
              <w:left w:val="single" w:color="auto" w:sz="8" w:space="0"/>
              <w:bottom w:val="single" w:color="auto" w:sz="4" w:space="0"/>
              <w:right w:val="single" w:color="auto" w:sz="4" w:space="0"/>
            </w:tcBorders>
            <w:tcMar>
              <w:left w:w="28" w:type="dxa"/>
              <w:right w:w="28" w:type="dxa"/>
            </w:tcMar>
            <w:vAlign w:val="center"/>
          </w:tcPr>
          <w:p w14:paraId="2F682153">
            <w:pPr>
              <w:keepNext w:val="0"/>
              <w:keepLines w:val="0"/>
              <w:widowControl/>
              <w:suppressLineNumbers w:val="0"/>
              <w:overflowPunct w:val="0"/>
              <w:autoSpaceDE w:val="0"/>
              <w:autoSpaceDN w:val="0"/>
              <w:spacing w:before="40" w:beforeAutospacing="0" w:after="40" w:afterAutospacing="0" w:line="240" w:lineRule="auto"/>
              <w:ind w:left="0" w:right="0"/>
              <w:jc w:val="center"/>
              <w:textAlignment w:val="baseline"/>
              <w:rPr>
                <w:rFonts w:hint="eastAsia" w:ascii="宋体" w:hAnsi="宋体" w:eastAsia="宋体" w:cs="宋体"/>
                <w:color w:val="000000"/>
                <w:kern w:val="0"/>
                <w:sz w:val="18"/>
                <w:szCs w:val="18"/>
                <w:highlight w:val="none"/>
              </w:rPr>
            </w:pPr>
            <w:r>
              <w:rPr>
                <w:rFonts w:hint="eastAsia" w:ascii="宋体" w:hAnsi="宋体" w:eastAsia="宋体" w:cs="宋体"/>
                <w:color w:val="000000"/>
                <w:kern w:val="0"/>
                <w:sz w:val="18"/>
                <w:szCs w:val="18"/>
                <w:highlight w:val="none"/>
              </w:rPr>
              <w:t>3</w:t>
            </w:r>
          </w:p>
        </w:tc>
        <w:tc>
          <w:tcPr>
            <w:tcW w:w="1408" w:type="pct"/>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3EC348C6">
            <w:pPr>
              <w:keepNext w:val="0"/>
              <w:keepLines w:val="0"/>
              <w:widowControl/>
              <w:suppressLineNumbers w:val="0"/>
              <w:overflowPunct w:val="0"/>
              <w:autoSpaceDE w:val="0"/>
              <w:autoSpaceDN w:val="0"/>
              <w:spacing w:before="40" w:beforeAutospacing="0" w:after="40" w:afterAutospacing="0" w:line="240" w:lineRule="auto"/>
              <w:ind w:left="0" w:right="0"/>
              <w:jc w:val="center"/>
              <w:textAlignment w:val="baseline"/>
              <w:rPr>
                <w:rFonts w:hint="default"/>
                <w:color w:val="000000"/>
                <w:kern w:val="0"/>
                <w:sz w:val="18"/>
                <w:szCs w:val="18"/>
                <w:highlight w:val="none"/>
              </w:rPr>
            </w:pPr>
            <w:r>
              <w:rPr>
                <w:rFonts w:hint="eastAsia" w:ascii="宋体" w:hAnsi="宋体" w:cs="宋体"/>
                <w:kern w:val="0"/>
                <w:sz w:val="18"/>
                <w:szCs w:val="18"/>
                <w:highlight w:val="none"/>
                <w:lang w:val="en-US" w:eastAsia="zh-CN"/>
              </w:rPr>
              <w:t>安全管理</w:t>
            </w:r>
            <w:r>
              <w:rPr>
                <w:rFonts w:hint="eastAsia" w:ascii="宋体" w:hAnsi="宋体" w:cs="宋体"/>
                <w:kern w:val="0"/>
                <w:sz w:val="18"/>
                <w:szCs w:val="18"/>
                <w:highlight w:val="none"/>
              </w:rPr>
              <w:t>单元</w:t>
            </w:r>
          </w:p>
        </w:tc>
        <w:tc>
          <w:tcPr>
            <w:tcW w:w="3144" w:type="pct"/>
            <w:tcBorders>
              <w:top w:val="single" w:color="auto" w:sz="4" w:space="0"/>
              <w:left w:val="single" w:color="auto" w:sz="4" w:space="0"/>
              <w:bottom w:val="single" w:color="auto" w:sz="4" w:space="0"/>
              <w:right w:val="single" w:color="auto" w:sz="8" w:space="0"/>
            </w:tcBorders>
            <w:tcMar>
              <w:left w:w="28" w:type="dxa"/>
              <w:right w:w="28" w:type="dxa"/>
            </w:tcMar>
            <w:vAlign w:val="center"/>
          </w:tcPr>
          <w:p w14:paraId="29F825F7">
            <w:pPr>
              <w:keepNext w:val="0"/>
              <w:keepLines w:val="0"/>
              <w:widowControl/>
              <w:suppressLineNumbers w:val="0"/>
              <w:overflowPunct w:val="0"/>
              <w:autoSpaceDE w:val="0"/>
              <w:autoSpaceDN w:val="0"/>
              <w:spacing w:before="40" w:beforeAutospacing="0" w:after="40" w:afterAutospacing="0" w:line="240" w:lineRule="auto"/>
              <w:ind w:left="0" w:right="0"/>
              <w:jc w:val="left"/>
              <w:textAlignment w:val="baseline"/>
              <w:rPr>
                <w:rFonts w:hint="default"/>
                <w:color w:val="000000"/>
                <w:kern w:val="0"/>
                <w:sz w:val="18"/>
                <w:szCs w:val="18"/>
                <w:highlight w:val="none"/>
              </w:rPr>
            </w:pPr>
            <w:r>
              <w:rPr>
                <w:rFonts w:hint="eastAsia" w:ascii="宋体" w:hAnsi="宋体" w:cs="宋体"/>
                <w:color w:val="000000"/>
                <w:kern w:val="0"/>
                <w:sz w:val="18"/>
                <w:szCs w:val="18"/>
                <w:highlight w:val="none"/>
                <w:lang w:val="en-US" w:eastAsia="zh-CN"/>
              </w:rPr>
              <w:t>安全检查表法、</w:t>
            </w:r>
            <w:r>
              <w:rPr>
                <w:rFonts w:hint="eastAsia" w:ascii="宋体" w:hAnsi="宋体" w:cs="宋体"/>
                <w:color w:val="000000"/>
                <w:kern w:val="0"/>
                <w:sz w:val="18"/>
                <w:szCs w:val="18"/>
                <w:highlight w:val="none"/>
              </w:rPr>
              <w:t>专家评议法、</w:t>
            </w:r>
            <w:r>
              <w:rPr>
                <w:rFonts w:hint="eastAsia" w:ascii="宋体" w:hAnsi="宋体" w:cs="宋体"/>
                <w:kern w:val="0"/>
                <w:sz w:val="18"/>
                <w:szCs w:val="18"/>
                <w:highlight w:val="none"/>
              </w:rPr>
              <w:t>风险矩阵法</w:t>
            </w:r>
            <w:r>
              <w:rPr>
                <w:rFonts w:hint="eastAsia" w:ascii="宋体" w:hAnsi="宋体" w:cs="宋体"/>
                <w:kern w:val="0"/>
                <w:sz w:val="18"/>
                <w:szCs w:val="18"/>
                <w:highlight w:val="none"/>
                <w:lang w:val="en-US" w:eastAsia="zh-CN"/>
              </w:rPr>
              <w:t>等</w:t>
            </w:r>
          </w:p>
        </w:tc>
      </w:tr>
    </w:tbl>
    <w:p w14:paraId="4F980EFA">
      <w:pPr>
        <w:ind w:firstLine="210" w:firstLineChars="100"/>
        <w:rPr>
          <w:rFonts w:hint="eastAsia"/>
          <w:highlight w:val="none"/>
          <w:lang w:val="en-US" w:eastAsia="zh-CN"/>
        </w:rPr>
      </w:pPr>
    </w:p>
    <w:p w14:paraId="09AED2EB">
      <w:pPr>
        <w:pStyle w:val="27"/>
        <w:rPr>
          <w:rFonts w:ascii="宋体" w:hAnsi="宋体" w:eastAsia="宋体" w:cs="宋体"/>
          <w:color w:val="000000"/>
          <w:highlight w:val="none"/>
        </w:rPr>
      </w:pPr>
    </w:p>
    <w:p w14:paraId="4A58F68D">
      <w:pPr>
        <w:pStyle w:val="27"/>
        <w:rPr>
          <w:rFonts w:ascii="宋体" w:hAnsi="宋体" w:eastAsia="宋体" w:cs="宋体"/>
          <w:color w:val="000000"/>
          <w:highlight w:val="none"/>
        </w:rPr>
        <w:sectPr>
          <w:pgSz w:w="11906" w:h="16838"/>
          <w:pgMar w:top="1843" w:right="1134" w:bottom="1134" w:left="1417" w:header="1361" w:footer="1111" w:gutter="0"/>
          <w:cols w:space="0" w:num="1"/>
          <w:formProt w:val="0"/>
          <w:docGrid w:type="lines" w:linePitch="312" w:charSpace="0"/>
        </w:sectPr>
      </w:pPr>
    </w:p>
    <w:p w14:paraId="3784FAC5">
      <w:pPr>
        <w:pStyle w:val="73"/>
        <w:numPr>
          <w:ilvl w:val="0"/>
          <w:numId w:val="0"/>
        </w:numPr>
        <w:spacing w:before="500" w:beforeLines="0" w:after="0" w:afterLines="0"/>
        <w:jc w:val="center"/>
        <w:outlineLvl w:val="0"/>
        <w:rPr>
          <w:rFonts w:hint="eastAsia" w:eastAsia="黑体"/>
          <w:highlight w:val="none"/>
          <w:lang w:eastAsia="zh-CN"/>
        </w:rPr>
      </w:pPr>
      <w:bookmarkStart w:id="150" w:name="_Toc19699"/>
      <w:bookmarkStart w:id="151" w:name="_Toc3711"/>
      <w:r>
        <w:rPr>
          <w:highlight w:val="none"/>
        </w:rPr>
        <mc:AlternateContent>
          <mc:Choice Requires="wps">
            <w:drawing>
              <wp:anchor distT="0" distB="0" distL="114300" distR="114300" simplePos="0" relativeHeight="251714560" behindDoc="0" locked="0" layoutInCell="1" hidden="1" allowOverlap="1">
                <wp:simplePos x="0" y="0"/>
                <wp:positionH relativeFrom="column">
                  <wp:posOffset>2970530</wp:posOffset>
                </wp:positionH>
                <wp:positionV relativeFrom="paragraph">
                  <wp:posOffset>-187325</wp:posOffset>
                </wp:positionV>
                <wp:extent cx="0" cy="539750"/>
                <wp:effectExtent l="4445" t="0" r="14605" b="12700"/>
                <wp:wrapNone/>
                <wp:docPr id="99" name="直接连接符 99" hidden="1"/>
                <wp:cNvGraphicFramePr/>
                <a:graphic xmlns:a="http://schemas.openxmlformats.org/drawingml/2006/main">
                  <a:graphicData uri="http://schemas.microsoft.com/office/word/2010/wordprocessingShape">
                    <wps:wsp>
                      <wps:cNvCnPr/>
                      <wps:spPr>
                        <a:xfrm>
                          <a:off x="3690620" y="1033145"/>
                          <a:ext cx="0" cy="53975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233.9pt;margin-top:-14.75pt;height:42.5pt;width:0pt;visibility:hidden;z-index:251714560;mso-width-relative:page;mso-height-relative:page;" filled="f" stroked="t" coordsize="21600,21600" o:gfxdata="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BFzEPvYAAAACgEAAA8AAAAAAAAAAQAgAAAAIgAAAGRycy9kb3ducmV2&#10;LnhtbFBLAQIUABQAAAAIAIdO4kALKKwY/AEAAMkDAAAOAAAAAAAAAAEAIAAAACcBAABkcnMvZTJv&#10;RG9jLnhtbFBLBQYAAAAABgAGAFkBAACVBQ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713536" behindDoc="0" locked="0" layoutInCell="1" hidden="1" allowOverlap="1">
                <wp:simplePos x="0" y="0"/>
                <wp:positionH relativeFrom="column">
                  <wp:posOffset>-191770</wp:posOffset>
                </wp:positionH>
                <wp:positionV relativeFrom="paragraph">
                  <wp:posOffset>-195580</wp:posOffset>
                </wp:positionV>
                <wp:extent cx="3419475" cy="0"/>
                <wp:effectExtent l="0" t="0" r="0" b="0"/>
                <wp:wrapNone/>
                <wp:docPr id="98" name="直接连接符 98" hidden="1"/>
                <wp:cNvGraphicFramePr/>
                <a:graphic xmlns:a="http://schemas.openxmlformats.org/drawingml/2006/main">
                  <a:graphicData uri="http://schemas.microsoft.com/office/word/2010/wordprocessingShape">
                    <wps:wsp>
                      <wps:cNvCnPr/>
                      <wps:spPr>
                        <a:xfrm>
                          <a:off x="909320" y="1034415"/>
                          <a:ext cx="341947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15.1pt;margin-top:-15.4pt;height:0pt;width:269.25pt;visibility:hidden;z-index:251713536;mso-width-relative:page;mso-height-relative:page;" filled="f" stroked="t" coordsize="21600,21600" o:gfxdata="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YX6CvXAAAACwEAAA8AAAAAAAAAAQAgAAAAIgAAAGRycy9kb3ducmV2&#10;LnhtbFBLAQIUABQAAAAIAIdO4kAaP3+I/QEAAMkDAAAOAAAAAAAAAAEAIAAAACYBAABkcnMvZTJv&#10;RG9jLnhtbFBLBQYAAAAABgAGAFkBAACVBQ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712512" behindDoc="0" locked="0" layoutInCell="1" hidden="1" allowOverlap="1">
                <wp:simplePos x="0" y="0"/>
                <wp:positionH relativeFrom="column">
                  <wp:posOffset>36830</wp:posOffset>
                </wp:positionH>
                <wp:positionV relativeFrom="paragraph">
                  <wp:posOffset>-1233805</wp:posOffset>
                </wp:positionV>
                <wp:extent cx="0" cy="899795"/>
                <wp:effectExtent l="4445" t="0" r="14605" b="14605"/>
                <wp:wrapNone/>
                <wp:docPr id="97" name="直接连接符 97" hidden="1"/>
                <wp:cNvGraphicFramePr/>
                <a:graphic xmlns:a="http://schemas.openxmlformats.org/drawingml/2006/main">
                  <a:graphicData uri="http://schemas.microsoft.com/office/word/2010/wordprocessingShape">
                    <wps:wsp>
                      <wps:cNvCnPr/>
                      <wps:spPr>
                        <a:xfrm>
                          <a:off x="1099820" y="5715"/>
                          <a:ext cx="0" cy="89979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2.9pt;margin-top:-97.15pt;height:70.85pt;width:0pt;visibility:hidden;z-index:251712512;mso-width-relative:page;mso-height-relative:page;" filled="f" stroked="t" coordsize="21600,21600" o:gfxdata="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LfHrcHWAAAACAEAAA8AAAAAAAAAAQAgAAAAIgAAAGRycy9kb3ducmV2LnhtbFBL&#10;AQIUABQAAAAIAIdO4kCdu7zR+AEAAMYDAAAOAAAAAAAAAAEAIAAAACUBAABkcnMvZTJvRG9jLnht&#10;bFBLBQYAAAAABgAGAFkBAACPBQAAAAA=&#10;">
                <v:fill on="f" focussize="0,0"/>
                <v:stroke weight="0.5pt" color="#ED7D31 [3205]" miterlimit="8" joinstyle="miter"/>
                <v:imagedata o:title=""/>
                <o:lock v:ext="edit" aspectratio="f"/>
              </v:line>
            </w:pict>
          </mc:Fallback>
        </mc:AlternateContent>
      </w:r>
      <w:r>
        <w:rPr>
          <w:rFonts w:hint="eastAsia"/>
          <w:highlight w:val="none"/>
        </w:rPr>
        <w:t>附　录　</w:t>
      </w:r>
      <w:bookmarkEnd w:id="150"/>
      <w:r>
        <w:rPr>
          <w:rFonts w:hint="eastAsia"/>
          <w:highlight w:val="none"/>
          <w:lang w:val="en-US" w:eastAsia="zh-CN"/>
        </w:rPr>
        <w:t>C</w:t>
      </w:r>
      <w:bookmarkEnd w:id="151"/>
    </w:p>
    <w:p w14:paraId="69624788">
      <w:pPr>
        <w:jc w:val="center"/>
        <w:rPr>
          <w:rFonts w:ascii="黑体" w:hAnsi="黑体" w:eastAsia="黑体" w:cs="黑体"/>
          <w:szCs w:val="21"/>
          <w:highlight w:val="none"/>
        </w:rPr>
      </w:pPr>
      <w:bookmarkStart w:id="152" w:name="_Toc31890"/>
      <w:bookmarkStart w:id="153" w:name="_Toc23088"/>
      <w:r>
        <w:rPr>
          <w:rFonts w:hint="eastAsia" w:ascii="黑体" w:hAnsi="黑体" w:eastAsia="黑体" w:cs="黑体"/>
          <w:szCs w:val="21"/>
          <w:highlight w:val="none"/>
        </w:rPr>
        <w:t>（规范性）</w:t>
      </w:r>
      <w:bookmarkEnd w:id="152"/>
      <w:bookmarkEnd w:id="153"/>
    </w:p>
    <w:p w14:paraId="61B215B0">
      <w:pPr>
        <w:jc w:val="center"/>
        <w:rPr>
          <w:rFonts w:ascii="黑体" w:hAnsi="黑体" w:eastAsia="黑体" w:cs="黑体"/>
          <w:szCs w:val="21"/>
          <w:highlight w:val="none"/>
        </w:rPr>
      </w:pPr>
      <w:bookmarkStart w:id="154" w:name="_Toc10482"/>
      <w:bookmarkStart w:id="155" w:name="_Toc17242"/>
      <w:bookmarkStart w:id="156" w:name="_Toc12485"/>
      <w:r>
        <w:rPr>
          <w:highlight w:val="none"/>
        </w:rPr>
        <mc:AlternateContent>
          <mc:Choice Requires="wps">
            <w:drawing>
              <wp:anchor distT="0" distB="0" distL="114300" distR="114300" simplePos="0" relativeHeight="251716608" behindDoc="0" locked="0" layoutInCell="1" hidden="1" allowOverlap="1">
                <wp:simplePos x="0" y="0"/>
                <wp:positionH relativeFrom="column">
                  <wp:posOffset>732155</wp:posOffset>
                </wp:positionH>
                <wp:positionV relativeFrom="paragraph">
                  <wp:posOffset>160655</wp:posOffset>
                </wp:positionV>
                <wp:extent cx="0" cy="179705"/>
                <wp:effectExtent l="4445" t="0" r="14605" b="10795"/>
                <wp:wrapNone/>
                <wp:docPr id="102" name="直接连接符 102" hidden="1"/>
                <wp:cNvGraphicFramePr/>
                <a:graphic xmlns:a="http://schemas.openxmlformats.org/drawingml/2006/main">
                  <a:graphicData uri="http://schemas.microsoft.com/office/word/2010/wordprocessingShape">
                    <wps:wsp>
                      <wps:cNvCnPr/>
                      <wps:spPr>
                        <a:xfrm>
                          <a:off x="1452245" y="2104390"/>
                          <a:ext cx="0" cy="17970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57.65pt;margin-top:12.65pt;height:14.15pt;width:0pt;visibility:hidden;z-index:251716608;mso-width-relative:page;mso-height-relative:page;" filled="f" stroked="t" coordsize="21600,21600" o:gfxdata="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BB4KnXAAAACQEAAA8AAAAAAAAAAQAgAAAAIgAAAGRycy9kb3ducmV2&#10;LnhtbFBLAQIUABQAAAAIAIdO4kAVht2c/QEAAMsDAAAOAAAAAAAAAAEAIAAAACYBAABkcnMvZTJv&#10;RG9jLnhtbFBLBQYAAAAABgAGAFkBAACVBQ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715584" behindDoc="0" locked="0" layoutInCell="1" hidden="1" allowOverlap="1">
                <wp:simplePos x="0" y="0"/>
                <wp:positionH relativeFrom="column">
                  <wp:posOffset>-210820</wp:posOffset>
                </wp:positionH>
                <wp:positionV relativeFrom="paragraph">
                  <wp:posOffset>160655</wp:posOffset>
                </wp:positionV>
                <wp:extent cx="3267075" cy="0"/>
                <wp:effectExtent l="0" t="0" r="0" b="0"/>
                <wp:wrapNone/>
                <wp:docPr id="101" name="直接连接符 101" hidden="1"/>
                <wp:cNvGraphicFramePr/>
                <a:graphic xmlns:a="http://schemas.openxmlformats.org/drawingml/2006/main">
                  <a:graphicData uri="http://schemas.microsoft.com/office/word/2010/wordprocessingShape">
                    <wps:wsp>
                      <wps:cNvCnPr/>
                      <wps:spPr>
                        <a:xfrm flipH="1">
                          <a:off x="509270" y="2104390"/>
                          <a:ext cx="326707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flip:x;margin-left:-16.6pt;margin-top:12.65pt;height:0pt;width:257.25pt;visibility:hidden;z-index:251715584;mso-width-relative:page;mso-height-relative:page;" filled="f" stroked="t" coordsize="21600,21600" o:gfxdata="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iJwWHNkAAAAJAQAADwAAAAAAAAABACAAAAAiAAAA&#10;ZHJzL2Rvd25yZXYueG1sUEsBAhQAFAAAAAgAh07iQIDKvnIGAgAA1QMAAA4AAAAAAAAAAQAgAAAA&#10;KAEAAGRycy9lMm9Eb2MueG1sUEsFBgAAAAAGAAYAWQEAAKAFAAAAAA==&#10;">
                <v:fill on="f" focussize="0,0"/>
                <v:stroke weight="0.5pt" color="#ED7D31 [3205]" miterlimit="8" joinstyle="miter"/>
                <v:imagedata o:title=""/>
                <o:lock v:ext="edit" aspectratio="f"/>
              </v:line>
            </w:pict>
          </mc:Fallback>
        </mc:AlternateContent>
      </w:r>
      <w:r>
        <w:rPr>
          <w:rFonts w:hint="eastAsia" w:ascii="黑体" w:hAnsi="黑体" w:eastAsia="黑体" w:cs="黑体"/>
          <w:szCs w:val="21"/>
          <w:highlight w:val="none"/>
        </w:rPr>
        <w:t>安全</w:t>
      </w:r>
      <w:r>
        <w:rPr>
          <w:rFonts w:hint="eastAsia" w:ascii="黑体" w:hAnsi="黑体" w:eastAsia="黑体" w:cs="黑体"/>
          <w:szCs w:val="21"/>
          <w:highlight w:val="none"/>
          <w:lang w:val="en-US" w:eastAsia="zh-CN"/>
        </w:rPr>
        <w:t>现状</w:t>
      </w:r>
      <w:r>
        <w:rPr>
          <w:rFonts w:hint="eastAsia" w:ascii="黑体" w:hAnsi="黑体" w:eastAsia="黑体" w:cs="黑体"/>
          <w:szCs w:val="21"/>
          <w:highlight w:val="none"/>
        </w:rPr>
        <w:t>评价报告格式</w:t>
      </w:r>
      <w:bookmarkEnd w:id="154"/>
      <w:bookmarkEnd w:id="155"/>
      <w:bookmarkEnd w:id="156"/>
    </w:p>
    <w:p w14:paraId="62C5D1C5">
      <w:pPr>
        <w:pStyle w:val="90"/>
        <w:numPr>
          <w:ilvl w:val="1"/>
          <w:numId w:val="0"/>
        </w:numPr>
        <w:spacing w:before="187" w:beforeLines="60" w:after="156" w:afterLines="50"/>
        <w:rPr>
          <w:rFonts w:hint="default" w:hAnsi="黑体" w:eastAsia="黑体" w:cs="黑体"/>
          <w:color w:val="000000"/>
          <w:highlight w:val="none"/>
          <w:lang w:val="en-US" w:eastAsia="zh-CN"/>
        </w:rPr>
      </w:pPr>
      <w:bookmarkStart w:id="157" w:name="_Toc73694352"/>
      <w:bookmarkStart w:id="158" w:name="_Toc26479"/>
      <w:bookmarkStart w:id="159" w:name="_Toc717"/>
      <w:bookmarkStart w:id="160" w:name="_Toc8021"/>
      <w:bookmarkStart w:id="161" w:name="_Toc32258"/>
      <w:bookmarkStart w:id="162" w:name="_Toc1011"/>
      <w:bookmarkStart w:id="163" w:name="_Toc20643"/>
      <w:bookmarkStart w:id="164" w:name="_Toc18632"/>
      <w:bookmarkStart w:id="165" w:name="_Toc23526"/>
      <w:bookmarkStart w:id="166" w:name="_Toc15499"/>
      <w:bookmarkStart w:id="167" w:name="_Toc16372"/>
      <w:r>
        <w:rPr>
          <w:rFonts w:hint="eastAsia" w:ascii="宋体" w:hAnsi="宋体" w:eastAsia="宋体" w:cs="宋体"/>
          <w:b/>
          <w:bCs/>
          <w:color w:val="000000"/>
          <w:highlight w:val="none"/>
          <w:lang w:val="en-US" w:eastAsia="zh-CN"/>
        </w:rPr>
        <w:t>C</w:t>
      </w:r>
      <w:r>
        <w:rPr>
          <w:rFonts w:hint="eastAsia" w:ascii="宋体" w:hAnsi="宋体" w:eastAsia="宋体" w:cs="宋体"/>
          <w:b/>
          <w:bCs/>
          <w:color w:val="000000"/>
          <w:highlight w:val="none"/>
        </w:rPr>
        <w:t>.1</w:t>
      </w:r>
      <w:r>
        <w:rPr>
          <w:rFonts w:hint="eastAsia" w:hAnsi="黑体" w:cs="黑体"/>
          <w:color w:val="000000"/>
          <w:highlight w:val="none"/>
        </w:rPr>
        <w:t>　</w:t>
      </w:r>
      <w:bookmarkEnd w:id="157"/>
      <w:bookmarkEnd w:id="158"/>
      <w:bookmarkEnd w:id="159"/>
      <w:bookmarkEnd w:id="160"/>
      <w:r>
        <w:rPr>
          <w:rFonts w:hint="eastAsia" w:hAnsi="黑体" w:cs="黑体"/>
          <w:color w:val="000000"/>
          <w:highlight w:val="none"/>
          <w:lang w:val="en-US" w:eastAsia="zh-CN"/>
        </w:rPr>
        <w:t>结构及格式</w:t>
      </w:r>
      <w:bookmarkEnd w:id="161"/>
      <w:bookmarkEnd w:id="162"/>
      <w:bookmarkEnd w:id="163"/>
      <w:bookmarkEnd w:id="164"/>
      <w:bookmarkEnd w:id="165"/>
      <w:bookmarkEnd w:id="166"/>
      <w:bookmarkEnd w:id="167"/>
    </w:p>
    <w:p w14:paraId="78557F03">
      <w:pPr>
        <w:pStyle w:val="90"/>
        <w:numPr>
          <w:ilvl w:val="1"/>
          <w:numId w:val="0"/>
        </w:numPr>
        <w:spacing w:before="156" w:beforeLines="50" w:after="156" w:afterLines="50"/>
        <w:outlineLvl w:val="2"/>
        <w:rPr>
          <w:rFonts w:hint="default" w:hAnsi="黑体" w:cs="黑体"/>
          <w:color w:val="000000"/>
          <w:highlight w:val="none"/>
          <w:lang w:val="en-US" w:eastAsia="zh-CN"/>
        </w:rPr>
      </w:pPr>
      <w:r>
        <w:rPr>
          <w:rFonts w:hint="eastAsia" w:ascii="宋体" w:hAnsi="宋体" w:eastAsia="宋体" w:cs="宋体"/>
          <w:b/>
          <w:bCs/>
          <w:color w:val="000000"/>
          <w:highlight w:val="none"/>
          <w:lang w:val="en-US" w:eastAsia="zh-CN"/>
        </w:rPr>
        <w:t>C.1.1</w:t>
      </w:r>
      <w:r>
        <w:rPr>
          <w:rFonts w:hint="eastAsia" w:hAnsi="黑体" w:cs="黑体"/>
          <w:color w:val="000000"/>
          <w:highlight w:val="none"/>
        </w:rPr>
        <w:t>　</w:t>
      </w:r>
      <w:r>
        <w:rPr>
          <w:rFonts w:hint="eastAsia" w:hAnsi="黑体" w:cs="黑体"/>
          <w:color w:val="000000"/>
          <w:highlight w:val="none"/>
          <w:lang w:val="en-US" w:eastAsia="zh-CN"/>
        </w:rPr>
        <w:t>基本格式要求</w:t>
      </w:r>
    </w:p>
    <w:p w14:paraId="506CC877">
      <w:pPr>
        <w:ind w:firstLine="420" w:firstLineChars="200"/>
        <w:rPr>
          <w:rFonts w:ascii="宋体" w:hAnsi="宋体" w:cs="宋体"/>
          <w:color w:val="000000"/>
          <w:szCs w:val="21"/>
          <w:highlight w:val="none"/>
        </w:rPr>
      </w:pPr>
      <w:r>
        <w:rPr>
          <w:rFonts w:hint="eastAsia" w:ascii="宋体" w:hAnsi="宋体" w:cs="宋体"/>
          <w:color w:val="000000"/>
          <w:szCs w:val="21"/>
          <w:highlight w:val="none"/>
          <w:lang w:val="en-US" w:eastAsia="zh-CN"/>
        </w:rPr>
        <w:t>安全现状评价报告的基本</w:t>
      </w:r>
      <w:r>
        <w:rPr>
          <w:rFonts w:hint="eastAsia" w:ascii="宋体" w:hAnsi="宋体" w:cs="宋体"/>
          <w:color w:val="000000"/>
          <w:szCs w:val="21"/>
          <w:highlight w:val="none"/>
        </w:rPr>
        <w:t>格式要求如下：</w:t>
      </w:r>
    </w:p>
    <w:p w14:paraId="19F03FCF">
      <w:pPr>
        <w:numPr>
          <w:ilvl w:val="0"/>
          <w:numId w:val="41"/>
        </w:numPr>
        <w:ind w:firstLine="420" w:firstLineChars="200"/>
        <w:rPr>
          <w:rFonts w:ascii="宋体" w:hAnsi="宋体" w:cs="宋体"/>
          <w:color w:val="000000"/>
          <w:szCs w:val="21"/>
          <w:highlight w:val="none"/>
        </w:rPr>
      </w:pPr>
      <w:r>
        <w:rPr>
          <w:rFonts w:hint="eastAsia" w:ascii="宋体" w:hAnsi="宋体" w:cs="宋体"/>
          <w:color w:val="000000"/>
          <w:szCs w:val="21"/>
          <w:highlight w:val="none"/>
        </w:rPr>
        <w:t>封面</w:t>
      </w:r>
      <w:r>
        <w:rPr>
          <w:rFonts w:hint="eastAsia" w:ascii="宋体" w:hAnsi="宋体" w:cs="宋体"/>
          <w:color w:val="000000"/>
          <w:szCs w:val="21"/>
          <w:highlight w:val="none"/>
          <w:lang w:eastAsia="zh-CN"/>
        </w:rPr>
        <w:t>；</w:t>
      </w:r>
    </w:p>
    <w:p w14:paraId="14504DC3">
      <w:pPr>
        <w:numPr>
          <w:ilvl w:val="0"/>
          <w:numId w:val="41"/>
        </w:numPr>
        <w:ind w:firstLine="420" w:firstLineChars="200"/>
        <w:rPr>
          <w:rFonts w:ascii="宋体" w:hAnsi="宋体" w:cs="宋体"/>
          <w:color w:val="000000"/>
          <w:szCs w:val="21"/>
          <w:highlight w:val="none"/>
        </w:rPr>
      </w:pPr>
      <w:r>
        <w:rPr>
          <w:rFonts w:hint="eastAsia" w:ascii="宋体" w:hAnsi="宋体" w:cs="宋体"/>
          <w:color w:val="000000"/>
          <w:szCs w:val="21"/>
          <w:highlight w:val="none"/>
        </w:rPr>
        <w:t>安全评价资质证书影印件</w:t>
      </w:r>
      <w:r>
        <w:rPr>
          <w:rFonts w:hint="eastAsia" w:ascii="宋体" w:hAnsi="宋体" w:cs="宋体"/>
          <w:color w:val="000000"/>
          <w:szCs w:val="21"/>
          <w:highlight w:val="none"/>
          <w:lang w:eastAsia="zh-CN"/>
        </w:rPr>
        <w:t>；</w:t>
      </w:r>
    </w:p>
    <w:p w14:paraId="65B1963F">
      <w:pPr>
        <w:numPr>
          <w:ilvl w:val="0"/>
          <w:numId w:val="41"/>
        </w:numPr>
        <w:ind w:firstLine="420" w:firstLineChars="200"/>
        <w:rPr>
          <w:rFonts w:ascii="宋体" w:hAnsi="宋体" w:cs="宋体"/>
          <w:color w:val="000000"/>
          <w:szCs w:val="21"/>
          <w:highlight w:val="none"/>
        </w:rPr>
      </w:pPr>
      <w:r>
        <w:rPr>
          <w:rFonts w:hint="eastAsia" w:ascii="宋体" w:hAnsi="宋体" w:cs="宋体"/>
          <w:color w:val="000000"/>
          <w:szCs w:val="21"/>
          <w:highlight w:val="none"/>
        </w:rPr>
        <w:t>著录项</w:t>
      </w:r>
      <w:r>
        <w:rPr>
          <w:rFonts w:hint="eastAsia" w:ascii="宋体" w:hAnsi="宋体" w:cs="宋体"/>
          <w:color w:val="000000"/>
          <w:szCs w:val="21"/>
          <w:highlight w:val="none"/>
          <w:lang w:eastAsia="zh-CN"/>
        </w:rPr>
        <w:t>；</w:t>
      </w:r>
    </w:p>
    <w:p w14:paraId="1A6EE36F">
      <w:pPr>
        <w:numPr>
          <w:ilvl w:val="0"/>
          <w:numId w:val="41"/>
        </w:numPr>
        <w:ind w:firstLine="420" w:firstLineChars="200"/>
        <w:rPr>
          <w:rFonts w:ascii="宋体" w:hAnsi="宋体" w:cs="宋体"/>
          <w:color w:val="000000"/>
          <w:szCs w:val="21"/>
          <w:highlight w:val="none"/>
        </w:rPr>
      </w:pPr>
      <w:r>
        <w:rPr>
          <w:rFonts w:hint="eastAsia" w:ascii="宋体" w:hAnsi="宋体" w:cs="宋体"/>
          <w:color w:val="000000"/>
          <w:szCs w:val="21"/>
          <w:highlight w:val="none"/>
        </w:rPr>
        <w:t>前言</w:t>
      </w:r>
      <w:r>
        <w:rPr>
          <w:rFonts w:hint="eastAsia" w:ascii="宋体" w:hAnsi="宋体" w:cs="宋体"/>
          <w:color w:val="000000"/>
          <w:szCs w:val="21"/>
          <w:highlight w:val="none"/>
          <w:lang w:eastAsia="zh-CN"/>
        </w:rPr>
        <w:t>；</w:t>
      </w:r>
    </w:p>
    <w:p w14:paraId="33B2B6E5">
      <w:pPr>
        <w:numPr>
          <w:ilvl w:val="0"/>
          <w:numId w:val="41"/>
        </w:numPr>
        <w:ind w:firstLine="420" w:firstLineChars="200"/>
        <w:rPr>
          <w:rFonts w:ascii="宋体" w:hAnsi="宋体" w:cs="宋体"/>
          <w:color w:val="000000"/>
          <w:szCs w:val="21"/>
          <w:highlight w:val="none"/>
        </w:rPr>
      </w:pPr>
      <w:r>
        <w:rPr>
          <w:rFonts w:hint="eastAsia" w:ascii="宋体" w:hAnsi="宋体" w:cs="宋体"/>
          <w:color w:val="000000"/>
          <w:szCs w:val="21"/>
          <w:highlight w:val="none"/>
        </w:rPr>
        <w:t>目录</w:t>
      </w:r>
      <w:r>
        <w:rPr>
          <w:rFonts w:hint="eastAsia" w:ascii="宋体" w:hAnsi="宋体" w:cs="宋体"/>
          <w:color w:val="000000"/>
          <w:szCs w:val="21"/>
          <w:highlight w:val="none"/>
          <w:lang w:eastAsia="zh-CN"/>
        </w:rPr>
        <w:t>；</w:t>
      </w:r>
    </w:p>
    <w:p w14:paraId="215FCF4C">
      <w:pPr>
        <w:numPr>
          <w:ilvl w:val="0"/>
          <w:numId w:val="41"/>
        </w:numPr>
        <w:ind w:firstLine="420" w:firstLineChars="200"/>
        <w:rPr>
          <w:rFonts w:ascii="宋体" w:hAnsi="宋体" w:cs="宋体"/>
          <w:color w:val="000000"/>
          <w:szCs w:val="21"/>
          <w:highlight w:val="none"/>
        </w:rPr>
      </w:pPr>
      <w:r>
        <w:rPr>
          <w:rFonts w:hint="eastAsia" w:ascii="宋体" w:hAnsi="宋体" w:cs="宋体"/>
          <w:color w:val="000000"/>
          <w:szCs w:val="21"/>
          <w:highlight w:val="none"/>
        </w:rPr>
        <w:t>正文</w:t>
      </w:r>
      <w:r>
        <w:rPr>
          <w:rFonts w:hint="eastAsia" w:ascii="宋体" w:hAnsi="宋体" w:cs="宋体"/>
          <w:color w:val="000000"/>
          <w:szCs w:val="21"/>
          <w:highlight w:val="none"/>
          <w:lang w:eastAsia="zh-CN"/>
        </w:rPr>
        <w:t>；</w:t>
      </w:r>
    </w:p>
    <w:p w14:paraId="0A8CF4FD">
      <w:pPr>
        <w:numPr>
          <w:ilvl w:val="0"/>
          <w:numId w:val="41"/>
        </w:numPr>
        <w:ind w:firstLine="420" w:firstLineChars="200"/>
        <w:rPr>
          <w:rFonts w:ascii="宋体" w:hAnsi="宋体" w:cs="宋体"/>
          <w:color w:val="000000"/>
          <w:szCs w:val="21"/>
          <w:highlight w:val="none"/>
        </w:rPr>
      </w:pPr>
      <w:r>
        <w:rPr>
          <w:rFonts w:hint="eastAsia" w:ascii="宋体" w:hAnsi="宋体" w:cs="宋体"/>
          <w:color w:val="000000"/>
          <w:szCs w:val="21"/>
          <w:highlight w:val="none"/>
        </w:rPr>
        <w:t>附件。</w:t>
      </w:r>
    </w:p>
    <w:p w14:paraId="45BE7122">
      <w:pPr>
        <w:pStyle w:val="90"/>
        <w:numPr>
          <w:ilvl w:val="1"/>
          <w:numId w:val="0"/>
        </w:numPr>
        <w:spacing w:before="156" w:beforeLines="50" w:after="156" w:afterLines="50"/>
        <w:outlineLvl w:val="2"/>
        <w:rPr>
          <w:rFonts w:hAnsi="黑体" w:cs="黑体"/>
          <w:color w:val="000000"/>
          <w:highlight w:val="none"/>
        </w:rPr>
      </w:pPr>
      <w:bookmarkStart w:id="168" w:name="_Toc23691"/>
      <w:bookmarkStart w:id="169" w:name="_Toc1688"/>
      <w:bookmarkStart w:id="170" w:name="_Toc26831"/>
      <w:bookmarkStart w:id="171" w:name="_Toc12664"/>
      <w:bookmarkStart w:id="172" w:name="_Toc26843"/>
      <w:bookmarkStart w:id="173" w:name="_Toc26085"/>
      <w:bookmarkStart w:id="174" w:name="_Toc73694353"/>
      <w:bookmarkStart w:id="175" w:name="_Toc6960"/>
      <w:bookmarkStart w:id="176" w:name="_Toc24709"/>
      <w:r>
        <w:rPr>
          <w:rFonts w:hint="eastAsia" w:ascii="宋体" w:hAnsi="宋体" w:eastAsia="宋体" w:cs="宋体"/>
          <w:b/>
          <w:bCs/>
          <w:color w:val="000000"/>
          <w:highlight w:val="none"/>
          <w:lang w:val="en-US" w:eastAsia="zh-CN"/>
        </w:rPr>
        <w:t>C.1.2</w:t>
      </w:r>
      <w:r>
        <w:rPr>
          <w:rFonts w:hint="eastAsia" w:hAnsi="黑体" w:cs="黑体"/>
          <w:color w:val="000000"/>
          <w:highlight w:val="none"/>
        </w:rPr>
        <w:t>　封面</w:t>
      </w:r>
    </w:p>
    <w:p w14:paraId="563965D9">
      <w:pPr>
        <w:ind w:firstLine="420" w:firstLineChars="200"/>
        <w:rPr>
          <w:rFonts w:hint="default" w:ascii="宋体" w:hAnsi="宋体" w:cs="宋体"/>
          <w:color w:val="000000"/>
          <w:szCs w:val="21"/>
          <w:highlight w:val="none"/>
          <w:lang w:val="en-US" w:eastAsia="zh-CN"/>
        </w:rPr>
      </w:pPr>
      <w:bookmarkStart w:id="177" w:name="_Hlk512928545"/>
      <w:r>
        <w:rPr>
          <w:rFonts w:hint="eastAsia" w:ascii="宋体" w:hAnsi="宋体" w:cs="宋体"/>
          <w:color w:val="000000"/>
          <w:szCs w:val="21"/>
          <w:highlight w:val="none"/>
          <w:lang w:val="en-US" w:eastAsia="zh-CN"/>
        </w:rPr>
        <w:t>封面格式应符合</w:t>
      </w:r>
      <w:bookmarkEnd w:id="177"/>
      <w:r>
        <w:rPr>
          <w:rFonts w:hint="eastAsia" w:ascii="宋体" w:hAnsi="宋体" w:cs="宋体"/>
          <w:color w:val="000000"/>
          <w:szCs w:val="21"/>
          <w:highlight w:val="none"/>
          <w:lang w:val="en-US" w:eastAsia="zh-CN"/>
        </w:rPr>
        <w:t>图C.1的要求。</w:t>
      </w:r>
    </w:p>
    <w:p w14:paraId="7FBF1DFA">
      <w:pPr>
        <w:pStyle w:val="90"/>
        <w:numPr>
          <w:ilvl w:val="1"/>
          <w:numId w:val="0"/>
        </w:numPr>
        <w:spacing w:before="156" w:beforeLines="50" w:after="156" w:afterLines="50"/>
        <w:outlineLvl w:val="2"/>
        <w:rPr>
          <w:rFonts w:hint="eastAsia"/>
          <w:highlight w:val="none"/>
        </w:rPr>
      </w:pPr>
      <w:bookmarkStart w:id="178" w:name="_Toc193042503"/>
      <w:bookmarkStart w:id="179" w:name="_Toc2136"/>
      <w:bookmarkStart w:id="180" w:name="_Toc3403"/>
      <w:bookmarkStart w:id="181" w:name="_Toc3435"/>
      <w:bookmarkStart w:id="182" w:name="_Toc17974"/>
      <w:r>
        <w:rPr>
          <w:rFonts w:hint="eastAsia" w:ascii="宋体" w:hAnsi="宋体" w:eastAsia="宋体" w:cs="宋体"/>
          <w:b/>
          <w:bCs/>
          <w:color w:val="000000"/>
          <w:highlight w:val="none"/>
          <w:lang w:val="en-US" w:eastAsia="zh-CN"/>
        </w:rPr>
        <w:t>C.1.3</w:t>
      </w:r>
      <w:r>
        <w:rPr>
          <w:rFonts w:hint="eastAsia" w:hAnsi="黑体" w:cs="黑体"/>
          <w:color w:val="000000"/>
          <w:highlight w:val="none"/>
        </w:rPr>
        <w:t>　</w:t>
      </w:r>
      <w:r>
        <w:rPr>
          <w:rFonts w:hint="eastAsia"/>
          <w:highlight w:val="none"/>
        </w:rPr>
        <w:t>著录项</w:t>
      </w:r>
      <w:bookmarkEnd w:id="178"/>
      <w:bookmarkEnd w:id="179"/>
      <w:bookmarkEnd w:id="180"/>
      <w:bookmarkEnd w:id="181"/>
      <w:bookmarkEnd w:id="182"/>
    </w:p>
    <w:p w14:paraId="7D9F7F7B">
      <w:pPr>
        <w:widowControl/>
        <w:numPr>
          <w:ilvl w:val="1"/>
          <w:numId w:val="0"/>
        </w:numPr>
        <w:adjustRightInd/>
        <w:spacing w:line="240" w:lineRule="auto"/>
        <w:ind w:firstLine="420" w:firstLineChars="200"/>
        <w:jc w:val="left"/>
        <w:rPr>
          <w:rFonts w:hint="eastAsia" w:ascii="宋体" w:hAnsi="宋体" w:cs="宋体"/>
          <w:color w:val="000000"/>
          <w:kern w:val="0"/>
          <w:highlight w:val="none"/>
        </w:rPr>
      </w:pPr>
      <w:bookmarkStart w:id="183" w:name="_Toc22949"/>
      <w:r>
        <w:rPr>
          <w:rFonts w:hint="eastAsia" w:ascii="宋体" w:hAnsi="宋体" w:cs="宋体"/>
          <w:color w:val="000000"/>
          <w:kern w:val="0"/>
          <w:highlight w:val="none"/>
        </w:rPr>
        <w:t>著录项</w:t>
      </w:r>
      <w:r>
        <w:rPr>
          <w:rFonts w:hint="eastAsia" w:ascii="宋体" w:hAnsi="宋体" w:cs="宋体"/>
          <w:color w:val="000000"/>
          <w:kern w:val="0"/>
          <w:highlight w:val="none"/>
          <w:lang w:val="en-US" w:eastAsia="zh-CN"/>
        </w:rPr>
        <w:t>格式应</w:t>
      </w:r>
      <w:r>
        <w:rPr>
          <w:rFonts w:hint="eastAsia" w:ascii="宋体" w:hAnsi="宋体" w:cs="宋体"/>
          <w:color w:val="000000"/>
          <w:kern w:val="0"/>
          <w:highlight w:val="none"/>
        </w:rPr>
        <w:t>符合图</w:t>
      </w:r>
      <w:r>
        <w:rPr>
          <w:rFonts w:hint="eastAsia" w:ascii="宋体" w:hAnsi="宋体" w:cs="宋体"/>
          <w:color w:val="000000"/>
          <w:kern w:val="0"/>
          <w:highlight w:val="none"/>
          <w:lang w:val="en-US" w:eastAsia="zh-CN"/>
        </w:rPr>
        <w:t>C</w:t>
      </w:r>
      <w:r>
        <w:rPr>
          <w:rFonts w:hint="eastAsia" w:ascii="宋体" w:hAnsi="宋体" w:cs="宋体"/>
          <w:color w:val="000000"/>
          <w:kern w:val="0"/>
          <w:highlight w:val="none"/>
        </w:rPr>
        <w:t>.2和图</w:t>
      </w:r>
      <w:r>
        <w:rPr>
          <w:rFonts w:hint="eastAsia" w:ascii="宋体" w:hAnsi="宋体" w:cs="宋体"/>
          <w:color w:val="000000"/>
          <w:kern w:val="0"/>
          <w:highlight w:val="none"/>
          <w:lang w:val="en-US" w:eastAsia="zh-CN"/>
        </w:rPr>
        <w:t>C</w:t>
      </w:r>
      <w:r>
        <w:rPr>
          <w:rFonts w:hint="eastAsia" w:ascii="宋体" w:hAnsi="宋体" w:cs="宋体"/>
          <w:color w:val="000000"/>
          <w:kern w:val="0"/>
          <w:highlight w:val="none"/>
        </w:rPr>
        <w:t>.3的要求。</w:t>
      </w:r>
      <w:bookmarkEnd w:id="183"/>
    </w:p>
    <w:p w14:paraId="426FDB09">
      <w:pPr>
        <w:pStyle w:val="90"/>
        <w:numPr>
          <w:ilvl w:val="1"/>
          <w:numId w:val="0"/>
        </w:numPr>
        <w:spacing w:before="156" w:beforeLines="50" w:after="156" w:afterLines="50"/>
        <w:outlineLvl w:val="2"/>
        <w:rPr>
          <w:rFonts w:hint="eastAsia"/>
          <w:highlight w:val="none"/>
        </w:rPr>
      </w:pPr>
      <w:bookmarkStart w:id="184" w:name="_Toc6481"/>
      <w:bookmarkStart w:id="185" w:name="_Toc7534"/>
      <w:bookmarkStart w:id="186" w:name="_Toc193042504"/>
      <w:r>
        <w:rPr>
          <w:rFonts w:hint="eastAsia" w:ascii="宋体" w:hAnsi="宋体" w:eastAsia="宋体" w:cs="宋体"/>
          <w:b/>
          <w:bCs/>
          <w:color w:val="000000"/>
          <w:highlight w:val="none"/>
          <w:lang w:val="en-US" w:eastAsia="zh-CN"/>
        </w:rPr>
        <w:t>C.1.4</w:t>
      </w:r>
      <w:r>
        <w:rPr>
          <w:rFonts w:hint="eastAsia" w:hAnsi="黑体" w:cs="黑体"/>
          <w:color w:val="000000"/>
          <w:highlight w:val="none"/>
        </w:rPr>
        <w:t>　</w:t>
      </w:r>
      <w:r>
        <w:rPr>
          <w:rFonts w:hint="eastAsia"/>
          <w:highlight w:val="none"/>
        </w:rPr>
        <w:t>前言</w:t>
      </w:r>
      <w:bookmarkEnd w:id="184"/>
      <w:bookmarkEnd w:id="185"/>
      <w:bookmarkEnd w:id="186"/>
    </w:p>
    <w:p w14:paraId="69823BA2">
      <w:pPr>
        <w:adjustRightInd/>
        <w:spacing w:line="360" w:lineRule="exact"/>
        <w:ind w:firstLine="420" w:firstLineChars="200"/>
        <w:rPr>
          <w:rFonts w:ascii="宋体" w:hAnsi="宋体" w:cs="宋体"/>
          <w:color w:val="000000"/>
          <w:highlight w:val="none"/>
        </w:rPr>
      </w:pPr>
      <w:r>
        <w:rPr>
          <w:rFonts w:hint="eastAsia" w:ascii="宋体" w:hAnsi="宋体" w:cs="宋体"/>
          <w:color w:val="000000"/>
          <w:highlight w:val="none"/>
        </w:rPr>
        <w:t>前言采用三号黑体字，内容的文字表述部分采用小四号宋体字。</w:t>
      </w:r>
    </w:p>
    <w:p w14:paraId="3C33F027">
      <w:pPr>
        <w:pStyle w:val="90"/>
        <w:numPr>
          <w:ilvl w:val="1"/>
          <w:numId w:val="0"/>
        </w:numPr>
        <w:spacing w:before="156" w:beforeLines="50" w:after="156" w:afterLines="50"/>
        <w:outlineLvl w:val="2"/>
        <w:rPr>
          <w:rFonts w:hint="eastAsia"/>
          <w:highlight w:val="none"/>
        </w:rPr>
      </w:pPr>
      <w:bookmarkStart w:id="187" w:name="_Toc29340"/>
      <w:bookmarkStart w:id="188" w:name="_Toc193042505"/>
      <w:bookmarkStart w:id="189" w:name="_Toc10233"/>
      <w:r>
        <w:rPr>
          <w:rFonts w:hint="eastAsia" w:ascii="宋体" w:hAnsi="宋体" w:eastAsia="宋体" w:cs="宋体"/>
          <w:b/>
          <w:bCs/>
          <w:color w:val="000000"/>
          <w:highlight w:val="none"/>
          <w:lang w:val="en-US" w:eastAsia="zh-CN"/>
        </w:rPr>
        <w:t>C.1.5</w:t>
      </w:r>
      <w:r>
        <w:rPr>
          <w:rFonts w:hint="eastAsia" w:hAnsi="黑体" w:cs="黑体"/>
          <w:color w:val="000000"/>
          <w:highlight w:val="none"/>
        </w:rPr>
        <w:t>　</w:t>
      </w:r>
      <w:r>
        <w:rPr>
          <w:rFonts w:hint="eastAsia"/>
          <w:highlight w:val="none"/>
        </w:rPr>
        <w:t>目录</w:t>
      </w:r>
      <w:bookmarkEnd w:id="187"/>
      <w:bookmarkEnd w:id="188"/>
      <w:bookmarkEnd w:id="189"/>
    </w:p>
    <w:p w14:paraId="5BAA41B1">
      <w:pPr>
        <w:adjustRightInd/>
        <w:spacing w:line="360" w:lineRule="exact"/>
        <w:ind w:firstLine="420" w:firstLineChars="200"/>
        <w:rPr>
          <w:rFonts w:ascii="宋体" w:hAnsi="宋体" w:cs="宋体"/>
          <w:color w:val="000000"/>
          <w:highlight w:val="none"/>
        </w:rPr>
      </w:pPr>
      <w:r>
        <w:rPr>
          <w:rFonts w:hint="eastAsia" w:ascii="宋体" w:hAnsi="宋体" w:cs="宋体"/>
          <w:color w:val="000000"/>
          <w:highlight w:val="none"/>
        </w:rPr>
        <w:t>目录的编排应列出章、节的名称，采用三号黑体字，章、节标题采用小四号宋体字。</w:t>
      </w:r>
    </w:p>
    <w:p w14:paraId="706A92B5">
      <w:pPr>
        <w:pStyle w:val="90"/>
        <w:numPr>
          <w:ilvl w:val="1"/>
          <w:numId w:val="0"/>
        </w:numPr>
        <w:spacing w:before="156" w:beforeLines="50" w:after="156" w:afterLines="50"/>
        <w:outlineLvl w:val="2"/>
        <w:rPr>
          <w:rFonts w:hint="eastAsia"/>
          <w:highlight w:val="none"/>
        </w:rPr>
      </w:pPr>
      <w:bookmarkStart w:id="190" w:name="_Toc3536"/>
      <w:bookmarkStart w:id="191" w:name="_Toc27465"/>
      <w:bookmarkStart w:id="192" w:name="_Toc193042506"/>
      <w:r>
        <w:rPr>
          <w:rFonts w:hint="eastAsia" w:ascii="宋体" w:hAnsi="宋体" w:eastAsia="宋体" w:cs="宋体"/>
          <w:b/>
          <w:bCs/>
          <w:color w:val="000000"/>
          <w:highlight w:val="none"/>
          <w:lang w:val="en-US" w:eastAsia="zh-CN"/>
        </w:rPr>
        <w:t>C.1.6</w:t>
      </w:r>
      <w:r>
        <w:rPr>
          <w:rFonts w:hint="eastAsia" w:hAnsi="黑体" w:cs="黑体"/>
          <w:color w:val="000000"/>
          <w:highlight w:val="none"/>
        </w:rPr>
        <w:t>　</w:t>
      </w:r>
      <w:r>
        <w:rPr>
          <w:rFonts w:hint="eastAsia"/>
          <w:highlight w:val="none"/>
        </w:rPr>
        <w:t>正文</w:t>
      </w:r>
      <w:bookmarkEnd w:id="190"/>
      <w:bookmarkEnd w:id="191"/>
      <w:bookmarkEnd w:id="192"/>
    </w:p>
    <w:p w14:paraId="1046E249">
      <w:pPr>
        <w:adjustRightInd/>
        <w:spacing w:line="360" w:lineRule="exact"/>
        <w:ind w:firstLine="420" w:firstLineChars="200"/>
        <w:rPr>
          <w:rFonts w:hint="default" w:ascii="宋体" w:hAnsi="宋体" w:eastAsia="宋体" w:cs="宋体"/>
          <w:color w:val="000000"/>
          <w:highlight w:val="none"/>
          <w:lang w:val="en-US" w:eastAsia="zh-CN"/>
        </w:rPr>
      </w:pPr>
      <w:r>
        <w:rPr>
          <w:rFonts w:hint="eastAsia" w:ascii="宋体" w:hAnsi="宋体" w:cs="宋体"/>
          <w:color w:val="000000"/>
          <w:highlight w:val="none"/>
        </w:rPr>
        <w:t>报告主要内容的章、节标题分别采用三号黑体、四号黑体字，内容的文字表述部分采用小四号宋体字，表名、图名采用五号黑体，表格文字可选择采用五号或者小五号宋体字；页眉报告名称</w:t>
      </w:r>
      <w:r>
        <w:rPr>
          <w:rFonts w:hint="eastAsia" w:ascii="宋体" w:hAnsi="宋体" w:cs="宋体"/>
          <w:color w:val="000000"/>
          <w:highlight w:val="none"/>
          <w:lang w:val="en-US" w:eastAsia="zh-CN"/>
        </w:rPr>
        <w:t>和页脚页码</w:t>
      </w:r>
      <w:r>
        <w:rPr>
          <w:rFonts w:hint="eastAsia" w:ascii="宋体" w:hAnsi="宋体" w:cs="宋体"/>
          <w:color w:val="000000"/>
          <w:highlight w:val="none"/>
        </w:rPr>
        <w:t>采用五号楷体</w:t>
      </w:r>
      <w:r>
        <w:rPr>
          <w:rFonts w:hint="eastAsia" w:ascii="宋体" w:hAnsi="宋体" w:cs="宋体"/>
          <w:color w:val="000000"/>
          <w:highlight w:val="none"/>
          <w:lang w:val="en-US" w:eastAsia="zh-CN"/>
        </w:rPr>
        <w:t xml:space="preserve">字。  </w:t>
      </w:r>
    </w:p>
    <w:p w14:paraId="0C001AA5">
      <w:pPr>
        <w:pStyle w:val="90"/>
        <w:numPr>
          <w:ilvl w:val="1"/>
          <w:numId w:val="0"/>
        </w:numPr>
        <w:spacing w:before="156" w:beforeLines="50" w:after="156" w:afterLines="50"/>
        <w:outlineLvl w:val="2"/>
        <w:rPr>
          <w:rFonts w:hint="eastAsia"/>
          <w:highlight w:val="none"/>
        </w:rPr>
      </w:pPr>
      <w:bookmarkStart w:id="193" w:name="_Toc30953"/>
      <w:bookmarkStart w:id="194" w:name="_Toc32242"/>
      <w:bookmarkStart w:id="195" w:name="_Toc193042507"/>
      <w:r>
        <w:rPr>
          <w:rFonts w:hint="eastAsia" w:ascii="宋体" w:hAnsi="宋体" w:eastAsia="宋体" w:cs="宋体"/>
          <w:b/>
          <w:bCs/>
          <w:color w:val="000000"/>
          <w:highlight w:val="none"/>
          <w:lang w:val="en-US" w:eastAsia="zh-CN"/>
        </w:rPr>
        <w:t>C.1.7</w:t>
      </w:r>
      <w:r>
        <w:rPr>
          <w:rFonts w:hint="eastAsia" w:hAnsi="黑体" w:cs="黑体"/>
          <w:color w:val="000000"/>
          <w:highlight w:val="none"/>
        </w:rPr>
        <w:t>　</w:t>
      </w:r>
      <w:r>
        <w:rPr>
          <w:rFonts w:hint="eastAsia"/>
          <w:highlight w:val="none"/>
        </w:rPr>
        <w:t>附件</w:t>
      </w:r>
      <w:bookmarkEnd w:id="193"/>
      <w:bookmarkEnd w:id="194"/>
      <w:bookmarkEnd w:id="195"/>
    </w:p>
    <w:p w14:paraId="00B2120B">
      <w:pPr>
        <w:adjustRightInd/>
        <w:spacing w:line="360" w:lineRule="exact"/>
        <w:ind w:firstLine="420" w:firstLineChars="200"/>
        <w:rPr>
          <w:rFonts w:ascii="Times New Roman" w:hAnsi="Times New Roman" w:eastAsia="黑体"/>
          <w:b/>
          <w:bCs/>
          <w:color w:val="000000"/>
          <w:szCs w:val="24"/>
          <w:highlight w:val="none"/>
        </w:rPr>
      </w:pPr>
      <w:r>
        <w:rPr>
          <w:rFonts w:hint="eastAsia" w:ascii="宋体" w:hAnsi="宋体" w:cs="宋体"/>
          <w:color w:val="000000"/>
          <w:highlight w:val="none"/>
        </w:rPr>
        <w:t>附件的标题采用三号黑体字。</w:t>
      </w:r>
    </w:p>
    <w:p w14:paraId="7075A2C5">
      <w:pPr>
        <w:ind w:firstLine="422" w:firstLineChars="200"/>
        <w:rPr>
          <w:rFonts w:hint="eastAsia" w:ascii="宋体" w:hAnsi="宋体" w:eastAsia="宋体" w:cs="宋体"/>
          <w:b/>
          <w:bCs/>
          <w:color w:val="000000"/>
          <w:highlight w:val="none"/>
          <w:lang w:val="en-US" w:eastAsia="zh-CN"/>
        </w:rPr>
      </w:pPr>
    </w:p>
    <w:bookmarkEnd w:id="168"/>
    <w:bookmarkEnd w:id="169"/>
    <w:bookmarkEnd w:id="170"/>
    <w:bookmarkEnd w:id="171"/>
    <w:bookmarkEnd w:id="172"/>
    <w:bookmarkEnd w:id="173"/>
    <w:bookmarkEnd w:id="174"/>
    <w:bookmarkEnd w:id="175"/>
    <w:bookmarkEnd w:id="176"/>
    <w:p w14:paraId="6C29FE29">
      <w:pPr>
        <w:pStyle w:val="27"/>
        <w:rPr>
          <w:rFonts w:hAnsi="宋体" w:cs="宋体"/>
          <w:color w:val="000000"/>
          <w:highlight w:val="none"/>
        </w:rPr>
      </w:pPr>
    </w:p>
    <w:p w14:paraId="30C96681">
      <w:pPr>
        <w:pStyle w:val="27"/>
        <w:rPr>
          <w:rFonts w:hAnsi="宋体" w:cs="宋体"/>
          <w:color w:val="000000"/>
          <w:highlight w:val="none"/>
        </w:rPr>
        <w:sectPr>
          <w:headerReference r:id="rId15" w:type="default"/>
          <w:footerReference r:id="rId17" w:type="default"/>
          <w:headerReference r:id="rId16" w:type="even"/>
          <w:footerReference r:id="rId18" w:type="even"/>
          <w:pgSz w:w="11906" w:h="16838"/>
          <w:pgMar w:top="1843" w:right="1134" w:bottom="1134" w:left="1417" w:header="1361" w:footer="1111" w:gutter="0"/>
          <w:cols w:space="720" w:num="1"/>
          <w:formProt w:val="0"/>
          <w:docGrid w:type="lines" w:linePitch="312" w:charSpace="0"/>
        </w:sectPr>
      </w:pPr>
    </w:p>
    <w:p w14:paraId="0AF975B3">
      <w:pPr>
        <w:rPr>
          <w:rFonts w:eastAsia="黑体"/>
          <w:b/>
          <w:bCs/>
          <w:kern w:val="44"/>
          <w:szCs w:val="21"/>
          <w:highlight w:val="none"/>
        </w:rPr>
      </w:pPr>
      <w:r>
        <w:rPr>
          <w:sz w:val="21"/>
          <w:highlight w:val="none"/>
        </w:rPr>
        <mc:AlternateContent>
          <mc:Choice Requires="wps">
            <w:drawing>
              <wp:anchor distT="0" distB="0" distL="114300" distR="114300" simplePos="0" relativeHeight="251722752" behindDoc="0" locked="0" layoutInCell="1" allowOverlap="1">
                <wp:simplePos x="0" y="0"/>
                <wp:positionH relativeFrom="column">
                  <wp:posOffset>-43180</wp:posOffset>
                </wp:positionH>
                <wp:positionV relativeFrom="paragraph">
                  <wp:posOffset>65405</wp:posOffset>
                </wp:positionV>
                <wp:extent cx="6064885" cy="7906385"/>
                <wp:effectExtent l="4445" t="4445" r="13970" b="13970"/>
                <wp:wrapNone/>
                <wp:docPr id="7" name="矩形 7"/>
                <wp:cNvGraphicFramePr/>
                <a:graphic xmlns:a="http://schemas.openxmlformats.org/drawingml/2006/main">
                  <a:graphicData uri="http://schemas.microsoft.com/office/word/2010/wordprocessingShape">
                    <wps:wsp>
                      <wps:cNvSpPr/>
                      <wps:spPr>
                        <a:xfrm>
                          <a:off x="0" y="0"/>
                          <a:ext cx="6064885" cy="790638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4pt;margin-top:5.15pt;height:622.55pt;width:477.55pt;z-index:251722752;v-text-anchor:middle;mso-width-relative:page;mso-height-relative:page;" filled="f" stroked="t" coordsize="21600,21600" o:gfxdata="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ex3ZPdcAAAAKAQAADwAAAAAAAAABACAAAAAiAAAAZHJzL2Rvd25yZXYueG1sUEsB&#10;AhQAFAAAAAgAh07iQBb+oNdoAgAAywQAAA4AAAAAAAAAAQAgAAAAJgEAAGRycy9lMm9Eb2MueG1s&#10;UEsFBgAAAAAGAAYAWQEAAAAGAAAAAA==&#10;">
                <v:fill on="f" focussize="0,0"/>
                <v:stroke weight="0.5pt" color="#000000 [3213]" miterlimit="8" joinstyle="miter"/>
                <v:imagedata o:title=""/>
                <o:lock v:ext="edit" aspectratio="f"/>
              </v:rect>
            </w:pict>
          </mc:Fallback>
        </mc:AlternateContent>
      </w:r>
    </w:p>
    <w:p w14:paraId="178BF598">
      <w:pPr>
        <w:pBdr>
          <w:top w:val="none" w:color="auto" w:sz="0" w:space="1"/>
          <w:left w:val="none" w:color="auto" w:sz="0" w:space="4"/>
          <w:bottom w:val="none" w:color="auto" w:sz="0" w:space="1"/>
          <w:right w:val="none" w:color="auto" w:sz="0" w:space="4"/>
        </w:pBdr>
        <w:jc w:val="left"/>
        <w:rPr>
          <w:rFonts w:asciiTheme="minorEastAsia" w:hAnsiTheme="minorEastAsia" w:eastAsiaTheme="minorEastAsia"/>
          <w:b/>
          <w:kern w:val="0"/>
          <w:sz w:val="44"/>
          <w:highlight w:val="none"/>
        </w:rPr>
      </w:pPr>
    </w:p>
    <w:p w14:paraId="05A1DBDC">
      <w:pPr>
        <w:pBdr>
          <w:top w:val="none" w:color="auto" w:sz="0" w:space="1"/>
          <w:left w:val="none" w:color="auto" w:sz="0" w:space="4"/>
          <w:bottom w:val="none" w:color="auto" w:sz="0" w:space="1"/>
          <w:right w:val="none" w:color="auto" w:sz="0" w:space="4"/>
        </w:pBdr>
        <w:jc w:val="center"/>
        <w:rPr>
          <w:rFonts w:asciiTheme="minorEastAsia" w:hAnsiTheme="minorEastAsia" w:eastAsiaTheme="minorEastAsia"/>
          <w:b/>
          <w:kern w:val="0"/>
          <w:sz w:val="44"/>
          <w:highlight w:val="none"/>
        </w:rPr>
      </w:pPr>
    </w:p>
    <w:p w14:paraId="43B6C8F7">
      <w:pPr>
        <w:pBdr>
          <w:top w:val="none" w:color="auto" w:sz="0" w:space="1"/>
          <w:left w:val="none" w:color="auto" w:sz="0" w:space="4"/>
          <w:bottom w:val="none" w:color="auto" w:sz="0" w:space="1"/>
          <w:right w:val="none" w:color="auto" w:sz="0" w:space="4"/>
        </w:pBdr>
        <w:jc w:val="center"/>
        <w:rPr>
          <w:rFonts w:asciiTheme="minorEastAsia" w:hAnsiTheme="minorEastAsia" w:eastAsiaTheme="minorEastAsia"/>
          <w:b/>
          <w:kern w:val="0"/>
          <w:sz w:val="44"/>
          <w:highlight w:val="none"/>
        </w:rPr>
      </w:pPr>
    </w:p>
    <w:p w14:paraId="227EE3C3">
      <w:pPr>
        <w:pBdr>
          <w:top w:val="none" w:color="auto" w:sz="0" w:space="1"/>
          <w:left w:val="none" w:color="auto" w:sz="0" w:space="4"/>
          <w:bottom w:val="none" w:color="auto" w:sz="0" w:space="1"/>
          <w:right w:val="none" w:color="auto" w:sz="0" w:space="4"/>
        </w:pBdr>
        <w:jc w:val="center"/>
        <w:rPr>
          <w:rFonts w:asciiTheme="minorEastAsia" w:hAnsiTheme="minorEastAsia" w:eastAsiaTheme="minorEastAsia"/>
          <w:b/>
          <w:kern w:val="0"/>
          <w:sz w:val="44"/>
          <w:highlight w:val="none"/>
        </w:rPr>
      </w:pPr>
      <w:r>
        <w:rPr>
          <w:rFonts w:hint="eastAsia" w:ascii="宋体" w:hAnsi="宋体" w:eastAsia="宋体" w:cs="宋体"/>
          <w:b/>
          <w:kern w:val="0"/>
          <w:sz w:val="44"/>
          <w:highlight w:val="none"/>
        </w:rPr>
        <w:t>（委托单位名称）</w:t>
      </w:r>
      <w:r>
        <w:rPr>
          <w:rFonts w:asciiTheme="minorEastAsia" w:hAnsiTheme="minorEastAsia" w:eastAsiaTheme="minorEastAsia"/>
          <w:b/>
          <w:kern w:val="0"/>
          <w:sz w:val="44"/>
          <w:highlight w:val="none"/>
        </w:rPr>
        <w:t xml:space="preserve"> </w:t>
      </w:r>
    </w:p>
    <w:p w14:paraId="007D319C">
      <w:pPr>
        <w:pBdr>
          <w:top w:val="none" w:color="auto" w:sz="0" w:space="1"/>
          <w:left w:val="none" w:color="auto" w:sz="0" w:space="4"/>
          <w:bottom w:val="none" w:color="auto" w:sz="0" w:space="1"/>
          <w:right w:val="none" w:color="auto" w:sz="0" w:space="4"/>
        </w:pBdr>
        <w:jc w:val="center"/>
        <w:rPr>
          <w:rFonts w:eastAsia="仿宋_GB2312"/>
          <w:bCs/>
          <w:sz w:val="28"/>
          <w:szCs w:val="28"/>
          <w:highlight w:val="none"/>
        </w:rPr>
      </w:pPr>
      <w:r>
        <w:rPr>
          <w:rFonts w:eastAsia="仿宋_GB2312"/>
          <w:bCs/>
          <w:sz w:val="15"/>
          <w:szCs w:val="15"/>
          <w:highlight w:val="none"/>
        </w:rPr>
        <w:t>（居中，二号宋体</w:t>
      </w:r>
      <w:r>
        <w:rPr>
          <w:rFonts w:hint="eastAsia" w:eastAsia="仿宋_GB2312"/>
          <w:bCs/>
          <w:sz w:val="15"/>
          <w:szCs w:val="15"/>
          <w:highlight w:val="none"/>
        </w:rPr>
        <w:t>加粗</w:t>
      </w:r>
      <w:r>
        <w:rPr>
          <w:rFonts w:eastAsia="仿宋_GB2312"/>
          <w:bCs/>
          <w:sz w:val="15"/>
          <w:szCs w:val="15"/>
          <w:highlight w:val="none"/>
        </w:rPr>
        <w:t>）</w:t>
      </w:r>
    </w:p>
    <w:p w14:paraId="52808322">
      <w:pPr>
        <w:pBdr>
          <w:top w:val="none" w:color="auto" w:sz="0" w:space="1"/>
          <w:left w:val="none" w:color="auto" w:sz="0" w:space="4"/>
          <w:bottom w:val="none" w:color="auto" w:sz="0" w:space="1"/>
          <w:right w:val="none" w:color="auto" w:sz="0" w:space="4"/>
        </w:pBdr>
        <w:jc w:val="center"/>
        <w:rPr>
          <w:rFonts w:hint="eastAsia" w:ascii="宋体" w:hAnsi="宋体" w:eastAsia="宋体" w:cs="宋体"/>
          <w:b/>
          <w:kern w:val="0"/>
          <w:sz w:val="44"/>
          <w:highlight w:val="none"/>
        </w:rPr>
      </w:pPr>
      <w:r>
        <w:rPr>
          <w:rFonts w:hint="eastAsia" w:ascii="宋体" w:hAnsi="宋体" w:eastAsia="宋体" w:cs="宋体"/>
          <w:b/>
          <w:kern w:val="0"/>
          <w:sz w:val="44"/>
          <w:highlight w:val="none"/>
        </w:rPr>
        <w:t>（评价项目名称）</w:t>
      </w:r>
    </w:p>
    <w:p w14:paraId="07FCA2C1">
      <w:pPr>
        <w:pBdr>
          <w:top w:val="none" w:color="auto" w:sz="0" w:space="1"/>
          <w:left w:val="none" w:color="auto" w:sz="0" w:space="4"/>
          <w:bottom w:val="none" w:color="auto" w:sz="0" w:space="1"/>
          <w:right w:val="none" w:color="auto" w:sz="0" w:space="4"/>
        </w:pBdr>
        <w:jc w:val="center"/>
        <w:rPr>
          <w:rFonts w:eastAsia="仿宋_GB2312"/>
          <w:bCs/>
          <w:sz w:val="28"/>
          <w:szCs w:val="28"/>
          <w:highlight w:val="none"/>
        </w:rPr>
      </w:pPr>
      <w:r>
        <w:rPr>
          <w:rFonts w:eastAsia="仿宋_GB2312"/>
          <w:bCs/>
          <w:sz w:val="15"/>
          <w:szCs w:val="15"/>
          <w:highlight w:val="none"/>
        </w:rPr>
        <w:t>（居中，二号宋体</w:t>
      </w:r>
      <w:r>
        <w:rPr>
          <w:rFonts w:hint="eastAsia" w:eastAsia="仿宋_GB2312"/>
          <w:bCs/>
          <w:sz w:val="15"/>
          <w:szCs w:val="15"/>
          <w:highlight w:val="none"/>
        </w:rPr>
        <w:t>加粗</w:t>
      </w:r>
      <w:r>
        <w:rPr>
          <w:rFonts w:eastAsia="仿宋_GB2312"/>
          <w:bCs/>
          <w:sz w:val="15"/>
          <w:szCs w:val="15"/>
          <w:highlight w:val="none"/>
        </w:rPr>
        <w:t>）</w:t>
      </w:r>
    </w:p>
    <w:p w14:paraId="1FFA54A8">
      <w:pPr>
        <w:pBdr>
          <w:top w:val="none" w:color="auto" w:sz="0" w:space="1"/>
          <w:left w:val="none" w:color="auto" w:sz="0" w:space="4"/>
          <w:bottom w:val="none" w:color="auto" w:sz="0" w:space="1"/>
          <w:right w:val="none" w:color="auto" w:sz="0" w:space="4"/>
        </w:pBdr>
        <w:jc w:val="center"/>
        <w:rPr>
          <w:rFonts w:ascii="黑体" w:hAnsi="黑体" w:eastAsia="黑体"/>
          <w:b/>
          <w:kern w:val="0"/>
          <w:sz w:val="52"/>
          <w:highlight w:val="none"/>
        </w:rPr>
      </w:pPr>
      <w:r>
        <w:rPr>
          <w:rFonts w:hint="eastAsia" w:ascii="黑体" w:hAnsi="黑体" w:eastAsia="黑体"/>
          <w:b/>
          <w:kern w:val="0"/>
          <w:sz w:val="52"/>
          <w:highlight w:val="none"/>
        </w:rPr>
        <w:t>安全</w:t>
      </w:r>
      <w:r>
        <w:rPr>
          <w:rFonts w:hint="eastAsia" w:ascii="黑体" w:hAnsi="黑体" w:eastAsia="黑体"/>
          <w:b/>
          <w:kern w:val="0"/>
          <w:sz w:val="52"/>
          <w:highlight w:val="none"/>
          <w:lang w:val="en-US" w:eastAsia="zh-CN"/>
        </w:rPr>
        <w:t>现状</w:t>
      </w:r>
      <w:r>
        <w:rPr>
          <w:rFonts w:hint="eastAsia" w:ascii="黑体" w:hAnsi="黑体" w:eastAsia="黑体"/>
          <w:b/>
          <w:kern w:val="0"/>
          <w:sz w:val="52"/>
          <w:highlight w:val="none"/>
        </w:rPr>
        <w:t>评价报告</w:t>
      </w:r>
    </w:p>
    <w:p w14:paraId="59BE9C54">
      <w:pPr>
        <w:pBdr>
          <w:top w:val="none" w:color="auto" w:sz="0" w:space="1"/>
          <w:left w:val="none" w:color="auto" w:sz="0" w:space="4"/>
          <w:bottom w:val="none" w:color="auto" w:sz="0" w:space="1"/>
          <w:right w:val="none" w:color="auto" w:sz="0" w:space="4"/>
        </w:pBdr>
        <w:jc w:val="center"/>
        <w:rPr>
          <w:sz w:val="24"/>
          <w:highlight w:val="none"/>
        </w:rPr>
      </w:pPr>
      <w:r>
        <w:rPr>
          <w:rFonts w:eastAsia="仿宋_GB2312"/>
          <w:bCs/>
          <w:sz w:val="15"/>
          <w:szCs w:val="15"/>
          <w:highlight w:val="none"/>
        </w:rPr>
        <w:t>（居中，一号</w:t>
      </w:r>
      <w:r>
        <w:rPr>
          <w:rFonts w:hint="eastAsia" w:eastAsia="仿宋_GB2312"/>
          <w:bCs/>
          <w:sz w:val="15"/>
          <w:szCs w:val="15"/>
          <w:highlight w:val="none"/>
        </w:rPr>
        <w:t>黑</w:t>
      </w:r>
      <w:r>
        <w:rPr>
          <w:rFonts w:eastAsia="仿宋_GB2312"/>
          <w:bCs/>
          <w:sz w:val="15"/>
          <w:szCs w:val="15"/>
          <w:highlight w:val="none"/>
        </w:rPr>
        <w:t>体</w:t>
      </w:r>
      <w:r>
        <w:rPr>
          <w:rFonts w:hint="eastAsia" w:eastAsia="仿宋_GB2312"/>
          <w:bCs/>
          <w:sz w:val="15"/>
          <w:szCs w:val="15"/>
          <w:highlight w:val="none"/>
        </w:rPr>
        <w:t>加粗</w:t>
      </w:r>
      <w:r>
        <w:rPr>
          <w:rFonts w:eastAsia="仿宋_GB2312"/>
          <w:bCs/>
          <w:sz w:val="15"/>
          <w:szCs w:val="15"/>
          <w:highlight w:val="none"/>
        </w:rPr>
        <w:t>）</w:t>
      </w:r>
    </w:p>
    <w:p w14:paraId="338A8926">
      <w:pPr>
        <w:pBdr>
          <w:top w:val="none" w:color="auto" w:sz="0" w:space="1"/>
          <w:left w:val="none" w:color="auto" w:sz="0" w:space="4"/>
          <w:bottom w:val="none" w:color="auto" w:sz="0" w:space="1"/>
          <w:right w:val="none" w:color="auto" w:sz="0" w:space="4"/>
        </w:pBdr>
        <w:spacing w:before="100" w:beforeAutospacing="1" w:after="100" w:afterAutospacing="1" w:line="360" w:lineRule="auto"/>
        <w:rPr>
          <w:sz w:val="24"/>
          <w:highlight w:val="none"/>
        </w:rPr>
      </w:pPr>
    </w:p>
    <w:p w14:paraId="3EBE6326">
      <w:pPr>
        <w:pBdr>
          <w:top w:val="none" w:color="auto" w:sz="0" w:space="1"/>
          <w:left w:val="none" w:color="auto" w:sz="0" w:space="4"/>
          <w:bottom w:val="none" w:color="auto" w:sz="0" w:space="1"/>
          <w:right w:val="none" w:color="auto" w:sz="0" w:space="4"/>
        </w:pBdr>
        <w:spacing w:before="100" w:beforeAutospacing="1" w:after="100" w:afterAutospacing="1" w:line="360" w:lineRule="auto"/>
        <w:rPr>
          <w:sz w:val="24"/>
          <w:highlight w:val="none"/>
        </w:rPr>
      </w:pPr>
    </w:p>
    <w:p w14:paraId="38381310">
      <w:pPr>
        <w:pBdr>
          <w:top w:val="none" w:color="auto" w:sz="0" w:space="1"/>
          <w:left w:val="none" w:color="auto" w:sz="0" w:space="4"/>
          <w:bottom w:val="none" w:color="auto" w:sz="0" w:space="1"/>
          <w:right w:val="none" w:color="auto" w:sz="0" w:space="4"/>
        </w:pBdr>
        <w:spacing w:before="100" w:beforeAutospacing="1" w:after="100" w:afterAutospacing="1" w:line="360" w:lineRule="auto"/>
        <w:rPr>
          <w:sz w:val="24"/>
          <w:highlight w:val="none"/>
        </w:rPr>
      </w:pPr>
    </w:p>
    <w:p w14:paraId="32FC560B">
      <w:pPr>
        <w:pBdr>
          <w:top w:val="none" w:color="auto" w:sz="0" w:space="1"/>
          <w:left w:val="none" w:color="auto" w:sz="0" w:space="4"/>
          <w:bottom w:val="none" w:color="auto" w:sz="0" w:space="1"/>
          <w:right w:val="none" w:color="auto" w:sz="0" w:space="4"/>
        </w:pBdr>
        <w:spacing w:before="100" w:beforeAutospacing="1" w:after="100" w:afterAutospacing="1" w:line="360" w:lineRule="auto"/>
        <w:rPr>
          <w:sz w:val="24"/>
          <w:highlight w:val="none"/>
        </w:rPr>
      </w:pPr>
    </w:p>
    <w:p w14:paraId="661223C3">
      <w:pPr>
        <w:pBdr>
          <w:top w:val="none" w:color="auto" w:sz="0" w:space="1"/>
          <w:left w:val="none" w:color="auto" w:sz="0" w:space="4"/>
          <w:bottom w:val="none" w:color="auto" w:sz="0" w:space="1"/>
          <w:right w:val="none" w:color="auto" w:sz="0" w:space="4"/>
        </w:pBdr>
        <w:spacing w:before="100" w:beforeAutospacing="1" w:after="100" w:afterAutospacing="1" w:line="360" w:lineRule="auto"/>
        <w:rPr>
          <w:sz w:val="24"/>
          <w:highlight w:val="none"/>
        </w:rPr>
      </w:pPr>
    </w:p>
    <w:p w14:paraId="00920571">
      <w:pPr>
        <w:pBdr>
          <w:top w:val="none" w:color="auto" w:sz="0" w:space="1"/>
          <w:left w:val="none" w:color="auto" w:sz="0" w:space="4"/>
          <w:bottom w:val="none" w:color="auto" w:sz="0" w:space="1"/>
          <w:right w:val="none" w:color="auto" w:sz="0" w:space="4"/>
        </w:pBdr>
        <w:spacing w:before="100" w:beforeAutospacing="1" w:after="100" w:afterAutospacing="1" w:line="360" w:lineRule="auto"/>
        <w:rPr>
          <w:sz w:val="24"/>
          <w:highlight w:val="none"/>
        </w:rPr>
      </w:pPr>
    </w:p>
    <w:p w14:paraId="2C3BE131">
      <w:pPr>
        <w:pBdr>
          <w:top w:val="none" w:color="auto" w:sz="0" w:space="1"/>
          <w:left w:val="none" w:color="auto" w:sz="0" w:space="4"/>
          <w:bottom w:val="none" w:color="auto" w:sz="0" w:space="1"/>
          <w:right w:val="none" w:color="auto" w:sz="0" w:space="4"/>
        </w:pBdr>
        <w:jc w:val="center"/>
        <w:rPr>
          <w:rFonts w:asciiTheme="minorEastAsia" w:hAnsiTheme="minorEastAsia" w:eastAsiaTheme="minorEastAsia"/>
          <w:b/>
          <w:sz w:val="24"/>
          <w:highlight w:val="none"/>
        </w:rPr>
      </w:pPr>
      <w:r>
        <w:rPr>
          <w:rFonts w:hint="eastAsia" w:ascii="宋体" w:hAnsi="宋体" w:cs="宋体"/>
          <w:b/>
          <w:sz w:val="44"/>
          <w:szCs w:val="44"/>
          <w:highlight w:val="none"/>
          <w:lang w:eastAsia="zh-CN"/>
        </w:rPr>
        <w:t>（</w:t>
      </w:r>
      <w:r>
        <w:rPr>
          <w:rFonts w:hint="eastAsia" w:ascii="宋体" w:hAnsi="宋体" w:eastAsia="宋体" w:cs="宋体"/>
          <w:b/>
          <w:sz w:val="44"/>
          <w:szCs w:val="44"/>
          <w:highlight w:val="none"/>
        </w:rPr>
        <w:t>安全评价机构名称</w:t>
      </w:r>
      <w:r>
        <w:rPr>
          <w:rFonts w:hint="eastAsia" w:ascii="宋体" w:hAnsi="宋体" w:cs="宋体"/>
          <w:b/>
          <w:sz w:val="44"/>
          <w:szCs w:val="44"/>
          <w:highlight w:val="none"/>
          <w:lang w:eastAsia="zh-CN"/>
        </w:rPr>
        <w:t>）</w:t>
      </w:r>
      <w:r>
        <w:rPr>
          <w:rFonts w:hint="eastAsia" w:asciiTheme="minorEastAsia" w:hAnsiTheme="minorEastAsia" w:eastAsiaTheme="minorEastAsia"/>
          <w:sz w:val="15"/>
          <w:szCs w:val="15"/>
          <w:highlight w:val="none"/>
        </w:rPr>
        <w:t>（</w:t>
      </w:r>
      <w:r>
        <w:rPr>
          <w:rFonts w:hint="eastAsia" w:asciiTheme="minorEastAsia" w:hAnsiTheme="minorEastAsia" w:eastAsiaTheme="minorEastAsia"/>
          <w:sz w:val="15"/>
          <w:szCs w:val="15"/>
          <w:highlight w:val="none"/>
          <w:lang w:val="en-US" w:eastAsia="zh-CN"/>
        </w:rPr>
        <w:t>居中，</w:t>
      </w:r>
      <w:r>
        <w:rPr>
          <w:rFonts w:hint="eastAsia" w:asciiTheme="minorEastAsia" w:hAnsiTheme="minorEastAsia" w:eastAsiaTheme="minorEastAsia"/>
          <w:sz w:val="15"/>
          <w:szCs w:val="15"/>
          <w:highlight w:val="none"/>
        </w:rPr>
        <w:t>二号宋体加粗）</w:t>
      </w:r>
    </w:p>
    <w:p w14:paraId="38EDA421">
      <w:pPr>
        <w:pBdr>
          <w:top w:val="none" w:color="auto" w:sz="0" w:space="1"/>
          <w:left w:val="none" w:color="auto" w:sz="0" w:space="4"/>
          <w:bottom w:val="none" w:color="auto" w:sz="0" w:space="1"/>
          <w:right w:val="none" w:color="auto" w:sz="0" w:space="4"/>
        </w:pBdr>
        <w:jc w:val="center"/>
        <w:rPr>
          <w:rFonts w:asciiTheme="minorEastAsia" w:hAnsiTheme="minorEastAsia" w:eastAsiaTheme="minorEastAsia"/>
          <w:sz w:val="15"/>
          <w:szCs w:val="15"/>
          <w:highlight w:val="none"/>
        </w:rPr>
      </w:pPr>
      <w:r>
        <w:rPr>
          <w:rFonts w:hint="eastAsia" w:ascii="宋体" w:hAnsi="宋体" w:cs="宋体"/>
          <w:b/>
          <w:sz w:val="32"/>
          <w:highlight w:val="none"/>
          <w:lang w:eastAsia="zh-CN"/>
        </w:rPr>
        <w:t>（</w:t>
      </w:r>
      <w:r>
        <w:rPr>
          <w:rFonts w:hint="eastAsia" w:ascii="宋体" w:hAnsi="宋体" w:eastAsia="宋体" w:cs="宋体"/>
          <w:b/>
          <w:sz w:val="32"/>
          <w:highlight w:val="none"/>
        </w:rPr>
        <w:t>安全评价机构资质证书编号</w:t>
      </w:r>
      <w:r>
        <w:rPr>
          <w:rFonts w:hint="eastAsia" w:ascii="宋体" w:hAnsi="宋体" w:cs="宋体"/>
          <w:b/>
          <w:sz w:val="32"/>
          <w:highlight w:val="none"/>
          <w:lang w:eastAsia="zh-CN"/>
        </w:rPr>
        <w:t>）</w:t>
      </w:r>
      <w:r>
        <w:rPr>
          <w:rFonts w:hint="eastAsia" w:asciiTheme="minorEastAsia" w:hAnsiTheme="minorEastAsia" w:eastAsiaTheme="minorEastAsia"/>
          <w:sz w:val="15"/>
          <w:szCs w:val="15"/>
          <w:highlight w:val="none"/>
        </w:rPr>
        <w:t>（</w:t>
      </w:r>
      <w:r>
        <w:rPr>
          <w:rFonts w:hint="eastAsia" w:asciiTheme="minorEastAsia" w:hAnsiTheme="minorEastAsia" w:eastAsiaTheme="minorEastAsia"/>
          <w:sz w:val="15"/>
          <w:szCs w:val="15"/>
          <w:highlight w:val="none"/>
          <w:lang w:val="en-US" w:eastAsia="zh-CN"/>
        </w:rPr>
        <w:t>居中，</w:t>
      </w:r>
      <w:r>
        <w:rPr>
          <w:rFonts w:hint="eastAsia" w:asciiTheme="minorEastAsia" w:hAnsiTheme="minorEastAsia" w:eastAsiaTheme="minorEastAsia"/>
          <w:sz w:val="15"/>
          <w:szCs w:val="15"/>
          <w:highlight w:val="none"/>
        </w:rPr>
        <w:t>三号宋体加粗）</w:t>
      </w:r>
    </w:p>
    <w:p w14:paraId="40E608DD">
      <w:pPr>
        <w:pBdr>
          <w:top w:val="none" w:color="auto" w:sz="0" w:space="1"/>
          <w:left w:val="none" w:color="auto" w:sz="0" w:space="4"/>
          <w:bottom w:val="none" w:color="auto" w:sz="0" w:space="1"/>
          <w:right w:val="none" w:color="auto" w:sz="0" w:space="4"/>
        </w:pBdr>
        <w:jc w:val="center"/>
        <w:rPr>
          <w:rFonts w:asciiTheme="minorEastAsia" w:hAnsiTheme="minorEastAsia" w:eastAsiaTheme="minorEastAsia"/>
          <w:b/>
          <w:sz w:val="32"/>
          <w:szCs w:val="32"/>
          <w:highlight w:val="none"/>
        </w:rPr>
      </w:pPr>
      <w:r>
        <w:rPr>
          <w:rFonts w:hint="eastAsia" w:ascii="宋体" w:hAnsi="宋体" w:cs="宋体"/>
          <w:b/>
          <w:sz w:val="32"/>
          <w:szCs w:val="32"/>
          <w:highlight w:val="none"/>
          <w:lang w:eastAsia="zh-CN"/>
        </w:rPr>
        <w:t>（</w:t>
      </w:r>
      <w:r>
        <w:rPr>
          <w:rFonts w:hint="eastAsia" w:ascii="宋体" w:hAnsi="宋体" w:eastAsia="宋体" w:cs="宋体"/>
          <w:b/>
          <w:sz w:val="32"/>
          <w:szCs w:val="32"/>
          <w:highlight w:val="none"/>
        </w:rPr>
        <w:t>评价报告完成日期</w:t>
      </w:r>
      <w:r>
        <w:rPr>
          <w:rFonts w:hint="eastAsia" w:ascii="宋体" w:hAnsi="宋体" w:cs="宋体"/>
          <w:b/>
          <w:sz w:val="32"/>
          <w:szCs w:val="32"/>
          <w:highlight w:val="none"/>
          <w:lang w:eastAsia="zh-CN"/>
        </w:rPr>
        <w:t>）</w:t>
      </w:r>
      <w:r>
        <w:rPr>
          <w:rFonts w:hint="eastAsia" w:asciiTheme="minorEastAsia" w:hAnsiTheme="minorEastAsia" w:eastAsiaTheme="minorEastAsia"/>
          <w:sz w:val="15"/>
          <w:szCs w:val="15"/>
          <w:highlight w:val="none"/>
        </w:rPr>
        <w:t>（</w:t>
      </w:r>
      <w:r>
        <w:rPr>
          <w:rFonts w:hint="eastAsia" w:asciiTheme="minorEastAsia" w:hAnsiTheme="minorEastAsia" w:eastAsiaTheme="minorEastAsia"/>
          <w:sz w:val="15"/>
          <w:szCs w:val="15"/>
          <w:highlight w:val="none"/>
          <w:lang w:val="en-US" w:eastAsia="zh-CN"/>
        </w:rPr>
        <w:t>居中，</w:t>
      </w:r>
      <w:r>
        <w:rPr>
          <w:rFonts w:hint="eastAsia" w:asciiTheme="minorEastAsia" w:hAnsiTheme="minorEastAsia" w:eastAsiaTheme="minorEastAsia"/>
          <w:sz w:val="15"/>
          <w:szCs w:val="15"/>
          <w:highlight w:val="none"/>
        </w:rPr>
        <w:t>三号宋体加粗）</w:t>
      </w:r>
    </w:p>
    <w:p w14:paraId="7293F03E">
      <w:pPr>
        <w:pBdr>
          <w:top w:val="none" w:color="auto" w:sz="0" w:space="1"/>
          <w:left w:val="none" w:color="auto" w:sz="0" w:space="4"/>
          <w:bottom w:val="none" w:color="auto" w:sz="0" w:space="1"/>
          <w:right w:val="none" w:color="auto" w:sz="0" w:space="4"/>
        </w:pBdr>
        <w:spacing w:line="500" w:lineRule="exact"/>
        <w:ind w:firstLine="480"/>
        <w:rPr>
          <w:rFonts w:ascii="宋体" w:hAnsi="宋体" w:cs="宋体"/>
          <w:color w:val="000000"/>
          <w:kern w:val="0"/>
          <w:sz w:val="24"/>
          <w:highlight w:val="none"/>
        </w:rPr>
      </w:pPr>
    </w:p>
    <w:p w14:paraId="1C8ABF7C">
      <w:pPr>
        <w:pStyle w:val="52"/>
        <w:numPr>
          <w:ilvl w:val="0"/>
          <w:numId w:val="0"/>
        </w:numPr>
        <w:spacing w:after="0" w:afterLines="0"/>
        <w:rPr>
          <w:color w:val="000000"/>
          <w:highlight w:val="none"/>
        </w:rPr>
      </w:pPr>
      <w:r>
        <w:rPr>
          <w:rFonts w:hint="eastAsia" w:ascii="宋体" w:hAnsi="宋体" w:eastAsia="宋体" w:cs="宋体"/>
          <w:b/>
          <w:bCs/>
          <w:color w:val="000000"/>
          <w:kern w:val="21"/>
          <w:sz w:val="21"/>
          <w:highlight w:val="none"/>
          <w:lang w:val="en-US" w:eastAsia="zh-CN" w:bidi="ar-SA"/>
        </w:rPr>
        <w:t>图C.1</w:t>
      </w:r>
      <w:r>
        <w:rPr>
          <w:rFonts w:hint="eastAsia"/>
          <w:color w:val="000000"/>
          <w:highlight w:val="none"/>
        </w:rPr>
        <w:t>　封面式样</w:t>
      </w:r>
    </w:p>
    <w:p w14:paraId="2726C05A">
      <w:pPr>
        <w:rPr>
          <w:color w:val="000000"/>
          <w:highlight w:val="none"/>
        </w:rPr>
      </w:pPr>
      <w:r>
        <w:rPr>
          <w:rFonts w:hint="eastAsia"/>
          <w:color w:val="000000"/>
          <w:highlight w:val="none"/>
        </w:rPr>
        <w:br w:type="page"/>
      </w:r>
    </w:p>
    <w:p w14:paraId="2DD636D6">
      <w:pPr>
        <w:pStyle w:val="27"/>
        <w:ind w:firstLine="0" w:firstLineChars="0"/>
        <w:rPr>
          <w:highlight w:val="none"/>
        </w:rPr>
      </w:pPr>
      <w:r>
        <w:rPr>
          <w:sz w:val="21"/>
          <w:highlight w:val="none"/>
        </w:rPr>
        <mc:AlternateContent>
          <mc:Choice Requires="wps">
            <w:drawing>
              <wp:anchor distT="0" distB="0" distL="114300" distR="114300" simplePos="0" relativeHeight="251721728" behindDoc="0" locked="0" layoutInCell="1" allowOverlap="1">
                <wp:simplePos x="0" y="0"/>
                <wp:positionH relativeFrom="column">
                  <wp:posOffset>-95885</wp:posOffset>
                </wp:positionH>
                <wp:positionV relativeFrom="paragraph">
                  <wp:posOffset>47625</wp:posOffset>
                </wp:positionV>
                <wp:extent cx="6040755" cy="7849235"/>
                <wp:effectExtent l="4445" t="4445" r="12700" b="7620"/>
                <wp:wrapNone/>
                <wp:docPr id="6" name="矩形 6"/>
                <wp:cNvGraphicFramePr/>
                <a:graphic xmlns:a="http://schemas.openxmlformats.org/drawingml/2006/main">
                  <a:graphicData uri="http://schemas.microsoft.com/office/word/2010/wordprocessingShape">
                    <wps:wsp>
                      <wps:cNvSpPr/>
                      <wps:spPr>
                        <a:xfrm>
                          <a:off x="0" y="0"/>
                          <a:ext cx="6040755" cy="784923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55pt;margin-top:3.75pt;height:618.05pt;width:475.65pt;z-index:251721728;v-text-anchor:middle;mso-width-relative:page;mso-height-relative:page;" filled="f" stroked="t" coordsize="21600,21600" o:gfxdata="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dSD6ldkAAAAKAQAADwAAAAAAAAABACAAAAAiAAAAZHJzL2Rvd25yZXYueG1s&#10;UEsBAhQAFAAAAAgAh07iQGkrByxpAgAAywQAAA4AAAAAAAAAAQAgAAAAKAEAAGRycy9lMm9Eb2Mu&#10;eG1sUEsFBgAAAAAGAAYAWQEAAAMGAAAAAA==&#10;">
                <v:fill on="f" focussize="0,0"/>
                <v:stroke weight="0.5pt" color="#000000 [3213]" miterlimit="8" joinstyle="miter"/>
                <v:imagedata o:title=""/>
                <o:lock v:ext="edit" aspectratio="f"/>
              </v:rect>
            </w:pict>
          </mc:Fallback>
        </mc:AlternateContent>
      </w:r>
    </w:p>
    <w:p w14:paraId="3BAF299A">
      <w:pPr>
        <w:pBdr>
          <w:top w:val="none" w:color="auto" w:sz="0" w:space="1"/>
          <w:left w:val="none" w:color="auto" w:sz="0" w:space="4"/>
          <w:bottom w:val="none" w:color="auto" w:sz="0" w:space="1"/>
          <w:right w:val="none" w:color="auto" w:sz="0" w:space="4"/>
        </w:pBdr>
        <w:jc w:val="center"/>
        <w:rPr>
          <w:rFonts w:asciiTheme="minorEastAsia" w:hAnsiTheme="minorEastAsia" w:eastAsiaTheme="minorEastAsia"/>
          <w:b/>
          <w:kern w:val="0"/>
          <w:sz w:val="44"/>
          <w:highlight w:val="none"/>
        </w:rPr>
      </w:pPr>
    </w:p>
    <w:p w14:paraId="243BB9A2">
      <w:pPr>
        <w:pBdr>
          <w:top w:val="none" w:color="auto" w:sz="0" w:space="1"/>
          <w:left w:val="none" w:color="auto" w:sz="0" w:space="4"/>
          <w:bottom w:val="none" w:color="auto" w:sz="0" w:space="1"/>
          <w:right w:val="none" w:color="auto" w:sz="0" w:space="4"/>
        </w:pBdr>
        <w:jc w:val="center"/>
        <w:rPr>
          <w:rFonts w:asciiTheme="minorEastAsia" w:hAnsiTheme="minorEastAsia" w:eastAsiaTheme="minorEastAsia"/>
          <w:b/>
          <w:kern w:val="0"/>
          <w:sz w:val="44"/>
          <w:highlight w:val="none"/>
        </w:rPr>
      </w:pPr>
    </w:p>
    <w:p w14:paraId="43253645">
      <w:pPr>
        <w:pBdr>
          <w:top w:val="none" w:color="auto" w:sz="0" w:space="1"/>
          <w:left w:val="none" w:color="auto" w:sz="0" w:space="4"/>
          <w:bottom w:val="none" w:color="auto" w:sz="0" w:space="1"/>
          <w:right w:val="none" w:color="auto" w:sz="0" w:space="4"/>
        </w:pBdr>
        <w:jc w:val="center"/>
        <w:rPr>
          <w:rFonts w:asciiTheme="minorEastAsia" w:hAnsiTheme="minorEastAsia" w:eastAsiaTheme="minorEastAsia"/>
          <w:b/>
          <w:kern w:val="0"/>
          <w:sz w:val="32"/>
          <w:szCs w:val="32"/>
          <w:highlight w:val="none"/>
        </w:rPr>
      </w:pPr>
      <w:r>
        <w:rPr>
          <w:rFonts w:hint="eastAsia" w:ascii="宋体" w:hAnsi="宋体" w:eastAsia="宋体" w:cs="宋体"/>
          <w:b/>
          <w:kern w:val="0"/>
          <w:sz w:val="32"/>
          <w:szCs w:val="32"/>
          <w:highlight w:val="none"/>
        </w:rPr>
        <w:t xml:space="preserve">（单位名称） </w:t>
      </w:r>
    </w:p>
    <w:p w14:paraId="4F08FA2A">
      <w:pPr>
        <w:pBdr>
          <w:top w:val="none" w:color="auto" w:sz="0" w:space="1"/>
          <w:left w:val="none" w:color="auto" w:sz="0" w:space="4"/>
          <w:bottom w:val="none" w:color="auto" w:sz="0" w:space="1"/>
          <w:right w:val="none" w:color="auto" w:sz="0" w:space="4"/>
        </w:pBdr>
        <w:jc w:val="center"/>
        <w:rPr>
          <w:rFonts w:eastAsia="仿宋_GB2312"/>
          <w:bCs/>
          <w:sz w:val="28"/>
          <w:szCs w:val="28"/>
          <w:highlight w:val="none"/>
        </w:rPr>
      </w:pPr>
      <w:r>
        <w:rPr>
          <w:rFonts w:eastAsia="仿宋_GB2312"/>
          <w:bCs/>
          <w:sz w:val="15"/>
          <w:szCs w:val="15"/>
          <w:highlight w:val="none"/>
        </w:rPr>
        <w:t>（居中，</w:t>
      </w:r>
      <w:r>
        <w:rPr>
          <w:rFonts w:hint="eastAsia" w:eastAsia="仿宋_GB2312"/>
          <w:bCs/>
          <w:sz w:val="15"/>
          <w:szCs w:val="15"/>
          <w:highlight w:val="none"/>
        </w:rPr>
        <w:t>三</w:t>
      </w:r>
      <w:r>
        <w:rPr>
          <w:rFonts w:eastAsia="仿宋_GB2312"/>
          <w:bCs/>
          <w:sz w:val="15"/>
          <w:szCs w:val="15"/>
          <w:highlight w:val="none"/>
        </w:rPr>
        <w:t>号宋体</w:t>
      </w:r>
      <w:r>
        <w:rPr>
          <w:rFonts w:hint="eastAsia" w:eastAsia="仿宋_GB2312"/>
          <w:bCs/>
          <w:sz w:val="15"/>
          <w:szCs w:val="15"/>
          <w:highlight w:val="none"/>
        </w:rPr>
        <w:t>加粗</w:t>
      </w:r>
      <w:r>
        <w:rPr>
          <w:rFonts w:eastAsia="仿宋_GB2312"/>
          <w:bCs/>
          <w:sz w:val="15"/>
          <w:szCs w:val="15"/>
          <w:highlight w:val="none"/>
        </w:rPr>
        <w:t>）</w:t>
      </w:r>
    </w:p>
    <w:p w14:paraId="1A15A0B6">
      <w:pPr>
        <w:pBdr>
          <w:top w:val="none" w:color="auto" w:sz="0" w:space="1"/>
          <w:left w:val="none" w:color="auto" w:sz="0" w:space="4"/>
          <w:bottom w:val="none" w:color="auto" w:sz="0" w:space="1"/>
          <w:right w:val="none" w:color="auto" w:sz="0" w:space="4"/>
        </w:pBdr>
        <w:jc w:val="center"/>
        <w:rPr>
          <w:rFonts w:hint="eastAsia" w:ascii="宋体" w:hAnsi="宋体" w:eastAsia="宋体" w:cs="宋体"/>
          <w:b/>
          <w:kern w:val="0"/>
          <w:sz w:val="44"/>
          <w:szCs w:val="44"/>
          <w:highlight w:val="none"/>
        </w:rPr>
      </w:pPr>
      <w:r>
        <w:rPr>
          <w:rFonts w:hint="eastAsia" w:ascii="宋体" w:hAnsi="宋体" w:eastAsia="宋体" w:cs="宋体"/>
          <w:b/>
          <w:kern w:val="0"/>
          <w:sz w:val="44"/>
          <w:szCs w:val="44"/>
          <w:highlight w:val="none"/>
        </w:rPr>
        <w:t>（评价项目名称）</w:t>
      </w:r>
    </w:p>
    <w:p w14:paraId="3CBAC2AC">
      <w:pPr>
        <w:pBdr>
          <w:top w:val="none" w:color="auto" w:sz="0" w:space="1"/>
          <w:left w:val="none" w:color="auto" w:sz="0" w:space="4"/>
          <w:bottom w:val="none" w:color="auto" w:sz="0" w:space="1"/>
          <w:right w:val="none" w:color="auto" w:sz="0" w:space="4"/>
        </w:pBdr>
        <w:jc w:val="center"/>
        <w:rPr>
          <w:rFonts w:eastAsia="仿宋_GB2312"/>
          <w:bCs/>
          <w:sz w:val="28"/>
          <w:szCs w:val="28"/>
          <w:highlight w:val="none"/>
        </w:rPr>
      </w:pPr>
      <w:r>
        <w:rPr>
          <w:rFonts w:eastAsia="仿宋_GB2312"/>
          <w:bCs/>
          <w:sz w:val="15"/>
          <w:szCs w:val="15"/>
          <w:highlight w:val="none"/>
        </w:rPr>
        <w:t>（居中，</w:t>
      </w:r>
      <w:r>
        <w:rPr>
          <w:rFonts w:hint="eastAsia" w:eastAsia="仿宋_GB2312"/>
          <w:bCs/>
          <w:sz w:val="15"/>
          <w:szCs w:val="15"/>
          <w:highlight w:val="none"/>
        </w:rPr>
        <w:t>二</w:t>
      </w:r>
      <w:r>
        <w:rPr>
          <w:rFonts w:eastAsia="仿宋_GB2312"/>
          <w:bCs/>
          <w:sz w:val="15"/>
          <w:szCs w:val="15"/>
          <w:highlight w:val="none"/>
        </w:rPr>
        <w:t>号宋体</w:t>
      </w:r>
      <w:r>
        <w:rPr>
          <w:rFonts w:hint="eastAsia" w:eastAsia="仿宋_GB2312"/>
          <w:bCs/>
          <w:sz w:val="15"/>
          <w:szCs w:val="15"/>
          <w:highlight w:val="none"/>
        </w:rPr>
        <w:t>加粗</w:t>
      </w:r>
      <w:r>
        <w:rPr>
          <w:rFonts w:eastAsia="仿宋_GB2312"/>
          <w:bCs/>
          <w:sz w:val="15"/>
          <w:szCs w:val="15"/>
          <w:highlight w:val="none"/>
        </w:rPr>
        <w:t>）</w:t>
      </w:r>
    </w:p>
    <w:p w14:paraId="6506C519">
      <w:pPr>
        <w:pBdr>
          <w:top w:val="none" w:color="auto" w:sz="0" w:space="1"/>
          <w:left w:val="none" w:color="auto" w:sz="0" w:space="4"/>
          <w:bottom w:val="none" w:color="auto" w:sz="0" w:space="1"/>
          <w:right w:val="none" w:color="auto" w:sz="0" w:space="4"/>
        </w:pBdr>
        <w:jc w:val="center"/>
        <w:rPr>
          <w:rFonts w:hint="eastAsia" w:ascii="宋体" w:hAnsi="宋体" w:eastAsia="宋体" w:cs="宋体"/>
          <w:b/>
          <w:kern w:val="0"/>
          <w:sz w:val="44"/>
          <w:szCs w:val="44"/>
          <w:highlight w:val="none"/>
        </w:rPr>
      </w:pPr>
      <w:r>
        <w:rPr>
          <w:rFonts w:hint="eastAsia" w:ascii="宋体" w:hAnsi="宋体" w:eastAsia="宋体" w:cs="宋体"/>
          <w:b/>
          <w:kern w:val="0"/>
          <w:sz w:val="44"/>
          <w:szCs w:val="44"/>
          <w:highlight w:val="none"/>
        </w:rPr>
        <w:t>安全</w:t>
      </w:r>
      <w:r>
        <w:rPr>
          <w:rFonts w:hint="eastAsia" w:ascii="宋体" w:hAnsi="宋体" w:cs="宋体"/>
          <w:b/>
          <w:kern w:val="0"/>
          <w:sz w:val="44"/>
          <w:szCs w:val="44"/>
          <w:highlight w:val="none"/>
          <w:lang w:val="en-US" w:eastAsia="zh-CN"/>
        </w:rPr>
        <w:t>现状</w:t>
      </w:r>
      <w:r>
        <w:rPr>
          <w:rFonts w:hint="eastAsia" w:ascii="宋体" w:hAnsi="宋体" w:eastAsia="宋体" w:cs="宋体"/>
          <w:b/>
          <w:kern w:val="0"/>
          <w:sz w:val="44"/>
          <w:szCs w:val="44"/>
          <w:highlight w:val="none"/>
        </w:rPr>
        <w:t>评价报告</w:t>
      </w:r>
    </w:p>
    <w:p w14:paraId="3379D200">
      <w:pPr>
        <w:pBdr>
          <w:top w:val="none" w:color="auto" w:sz="0" w:space="1"/>
          <w:left w:val="none" w:color="auto" w:sz="0" w:space="4"/>
          <w:bottom w:val="none" w:color="auto" w:sz="0" w:space="1"/>
          <w:right w:val="none" w:color="auto" w:sz="0" w:space="4"/>
        </w:pBdr>
        <w:jc w:val="center"/>
        <w:rPr>
          <w:sz w:val="24"/>
          <w:highlight w:val="none"/>
        </w:rPr>
      </w:pPr>
      <w:r>
        <w:rPr>
          <w:rFonts w:eastAsia="仿宋_GB2312"/>
          <w:bCs/>
          <w:sz w:val="15"/>
          <w:szCs w:val="15"/>
          <w:highlight w:val="none"/>
        </w:rPr>
        <w:t>（居中，</w:t>
      </w:r>
      <w:r>
        <w:rPr>
          <w:rFonts w:hint="eastAsia" w:eastAsia="仿宋_GB2312"/>
          <w:bCs/>
          <w:sz w:val="15"/>
          <w:szCs w:val="15"/>
          <w:highlight w:val="none"/>
        </w:rPr>
        <w:t>二</w:t>
      </w:r>
      <w:r>
        <w:rPr>
          <w:rFonts w:eastAsia="仿宋_GB2312"/>
          <w:bCs/>
          <w:sz w:val="15"/>
          <w:szCs w:val="15"/>
          <w:highlight w:val="none"/>
        </w:rPr>
        <w:t>号宋体</w:t>
      </w:r>
      <w:r>
        <w:rPr>
          <w:rFonts w:hint="eastAsia" w:eastAsia="仿宋_GB2312"/>
          <w:bCs/>
          <w:sz w:val="15"/>
          <w:szCs w:val="15"/>
          <w:highlight w:val="none"/>
        </w:rPr>
        <w:t>加粗</w:t>
      </w:r>
      <w:r>
        <w:rPr>
          <w:rFonts w:eastAsia="仿宋_GB2312"/>
          <w:bCs/>
          <w:sz w:val="15"/>
          <w:szCs w:val="15"/>
          <w:highlight w:val="none"/>
        </w:rPr>
        <w:t>）</w:t>
      </w:r>
    </w:p>
    <w:p w14:paraId="490C44EA">
      <w:pPr>
        <w:pBdr>
          <w:top w:val="none" w:color="auto" w:sz="0" w:space="1"/>
          <w:left w:val="none" w:color="auto" w:sz="0" w:space="4"/>
          <w:bottom w:val="none" w:color="auto" w:sz="0" w:space="1"/>
          <w:right w:val="none" w:color="auto" w:sz="0" w:space="4"/>
        </w:pBdr>
        <w:spacing w:before="100" w:beforeAutospacing="1" w:after="100" w:afterAutospacing="1" w:line="360" w:lineRule="auto"/>
        <w:rPr>
          <w:sz w:val="24"/>
          <w:highlight w:val="none"/>
        </w:rPr>
      </w:pPr>
    </w:p>
    <w:p w14:paraId="73FC94F9">
      <w:pPr>
        <w:pBdr>
          <w:top w:val="none" w:color="auto" w:sz="0" w:space="1"/>
          <w:left w:val="none" w:color="auto" w:sz="0" w:space="4"/>
          <w:bottom w:val="none" w:color="auto" w:sz="0" w:space="1"/>
          <w:right w:val="none" w:color="auto" w:sz="0" w:space="4"/>
        </w:pBdr>
        <w:spacing w:before="100" w:beforeAutospacing="1" w:after="100" w:afterAutospacing="1" w:line="360" w:lineRule="auto"/>
        <w:rPr>
          <w:sz w:val="24"/>
          <w:highlight w:val="none"/>
        </w:rPr>
      </w:pPr>
    </w:p>
    <w:p w14:paraId="627BD663">
      <w:pPr>
        <w:pBdr>
          <w:top w:val="none" w:color="auto" w:sz="0" w:space="1"/>
          <w:left w:val="none" w:color="auto" w:sz="0" w:space="4"/>
          <w:bottom w:val="none" w:color="auto" w:sz="0" w:space="1"/>
          <w:right w:val="none" w:color="auto" w:sz="0" w:space="4"/>
        </w:pBdr>
        <w:spacing w:line="600" w:lineRule="exact"/>
        <w:jc w:val="center"/>
        <w:rPr>
          <w:rFonts w:asciiTheme="minorEastAsia" w:hAnsiTheme="minorEastAsia" w:eastAsiaTheme="minorEastAsia"/>
          <w:b/>
          <w:sz w:val="32"/>
          <w:highlight w:val="none"/>
        </w:rPr>
      </w:pPr>
      <w:r>
        <w:rPr>
          <w:rFonts w:hint="eastAsia" w:ascii="宋体" w:hAnsi="宋体" w:eastAsia="宋体" w:cs="宋体"/>
          <w:sz w:val="28"/>
          <w:szCs w:val="28"/>
          <w:highlight w:val="none"/>
        </w:rPr>
        <w:t>法</w:t>
      </w:r>
      <w:r>
        <w:rPr>
          <w:rFonts w:hint="eastAsia" w:ascii="宋体" w:hAnsi="宋体" w:cs="宋体"/>
          <w:sz w:val="28"/>
          <w:szCs w:val="28"/>
          <w:highlight w:val="none"/>
          <w:lang w:val="en-US" w:eastAsia="zh-CN"/>
        </w:rPr>
        <w:t xml:space="preserve"> </w:t>
      </w:r>
      <w:r>
        <w:rPr>
          <w:rFonts w:hint="eastAsia" w:ascii="宋体" w:hAnsi="宋体" w:eastAsia="宋体" w:cs="宋体"/>
          <w:sz w:val="28"/>
          <w:szCs w:val="28"/>
          <w:highlight w:val="none"/>
        </w:rPr>
        <w:t>定</w:t>
      </w:r>
      <w:r>
        <w:rPr>
          <w:rFonts w:hint="eastAsia" w:ascii="宋体" w:hAnsi="宋体" w:cs="宋体"/>
          <w:sz w:val="28"/>
          <w:szCs w:val="28"/>
          <w:highlight w:val="none"/>
          <w:lang w:val="en-US" w:eastAsia="zh-CN"/>
        </w:rPr>
        <w:t xml:space="preserve"> </w:t>
      </w:r>
      <w:r>
        <w:rPr>
          <w:rFonts w:hint="eastAsia" w:ascii="宋体" w:hAnsi="宋体" w:eastAsia="宋体" w:cs="宋体"/>
          <w:sz w:val="28"/>
          <w:szCs w:val="28"/>
          <w:highlight w:val="none"/>
        </w:rPr>
        <w:t>代</w:t>
      </w:r>
      <w:r>
        <w:rPr>
          <w:rFonts w:hint="eastAsia" w:ascii="宋体" w:hAnsi="宋体" w:cs="宋体"/>
          <w:sz w:val="28"/>
          <w:szCs w:val="28"/>
          <w:highlight w:val="none"/>
          <w:lang w:val="en-US" w:eastAsia="zh-CN"/>
        </w:rPr>
        <w:t xml:space="preserve"> </w:t>
      </w:r>
      <w:r>
        <w:rPr>
          <w:rFonts w:hint="eastAsia" w:ascii="宋体" w:hAnsi="宋体" w:eastAsia="宋体" w:cs="宋体"/>
          <w:sz w:val="28"/>
          <w:szCs w:val="28"/>
          <w:highlight w:val="none"/>
        </w:rPr>
        <w:t>表</w:t>
      </w:r>
      <w:r>
        <w:rPr>
          <w:rFonts w:hint="eastAsia" w:ascii="宋体" w:hAnsi="宋体" w:cs="宋体"/>
          <w:sz w:val="28"/>
          <w:szCs w:val="28"/>
          <w:highlight w:val="none"/>
          <w:lang w:val="en-US" w:eastAsia="zh-CN"/>
        </w:rPr>
        <w:t xml:space="preserve"> </w:t>
      </w:r>
      <w:r>
        <w:rPr>
          <w:rFonts w:hint="eastAsia" w:ascii="宋体" w:hAnsi="宋体" w:eastAsia="宋体" w:cs="宋体"/>
          <w:sz w:val="28"/>
          <w:szCs w:val="28"/>
          <w:highlight w:val="none"/>
        </w:rPr>
        <w:t>人：</w:t>
      </w:r>
      <w:r>
        <w:rPr>
          <w:rFonts w:eastAsia="仿宋_GB2312"/>
          <w:bCs/>
          <w:sz w:val="15"/>
          <w:szCs w:val="15"/>
          <w:highlight w:val="none"/>
        </w:rPr>
        <w:t>（</w:t>
      </w:r>
      <w:r>
        <w:rPr>
          <w:rFonts w:hint="eastAsia" w:eastAsia="仿宋_GB2312"/>
          <w:bCs/>
          <w:sz w:val="15"/>
          <w:szCs w:val="15"/>
          <w:highlight w:val="none"/>
          <w:lang w:val="en-US" w:eastAsia="zh-CN"/>
        </w:rPr>
        <w:t>居中，</w:t>
      </w:r>
      <w:r>
        <w:rPr>
          <w:rFonts w:hint="eastAsia" w:eastAsia="仿宋_GB2312"/>
          <w:bCs/>
          <w:sz w:val="15"/>
          <w:szCs w:val="15"/>
          <w:highlight w:val="none"/>
        </w:rPr>
        <w:t>四号宋体</w:t>
      </w:r>
      <w:r>
        <w:rPr>
          <w:rFonts w:eastAsia="仿宋_GB2312"/>
          <w:bCs/>
          <w:sz w:val="15"/>
          <w:szCs w:val="15"/>
          <w:highlight w:val="none"/>
        </w:rPr>
        <w:t>）</w:t>
      </w:r>
    </w:p>
    <w:p w14:paraId="544BAFB3">
      <w:pPr>
        <w:pBdr>
          <w:top w:val="none" w:color="auto" w:sz="0" w:space="1"/>
          <w:left w:val="none" w:color="auto" w:sz="0" w:space="4"/>
          <w:bottom w:val="none" w:color="auto" w:sz="0" w:space="1"/>
          <w:right w:val="none" w:color="auto" w:sz="0" w:space="4"/>
        </w:pBdr>
        <w:spacing w:line="600" w:lineRule="exact"/>
        <w:jc w:val="center"/>
        <w:rPr>
          <w:rFonts w:asciiTheme="minorEastAsia" w:hAnsiTheme="minorEastAsia" w:eastAsiaTheme="minorEastAsia"/>
          <w:b/>
          <w:sz w:val="32"/>
          <w:highlight w:val="none"/>
        </w:rPr>
      </w:pPr>
      <w:r>
        <w:rPr>
          <w:rFonts w:hint="eastAsia" w:ascii="宋体" w:hAnsi="宋体" w:eastAsia="宋体" w:cs="宋体"/>
          <w:sz w:val="28"/>
          <w:szCs w:val="28"/>
          <w:highlight w:val="none"/>
        </w:rPr>
        <w:t>技</w:t>
      </w:r>
      <w:r>
        <w:rPr>
          <w:rFonts w:hint="eastAsia" w:ascii="宋体" w:hAnsi="宋体" w:cs="宋体"/>
          <w:sz w:val="28"/>
          <w:szCs w:val="28"/>
          <w:highlight w:val="none"/>
          <w:lang w:val="en-US" w:eastAsia="zh-CN"/>
        </w:rPr>
        <w:t xml:space="preserve"> </w:t>
      </w:r>
      <w:r>
        <w:rPr>
          <w:rFonts w:hint="eastAsia" w:ascii="宋体" w:hAnsi="宋体" w:eastAsia="宋体" w:cs="宋体"/>
          <w:sz w:val="28"/>
          <w:szCs w:val="28"/>
          <w:highlight w:val="none"/>
        </w:rPr>
        <w:t>术</w:t>
      </w:r>
      <w:r>
        <w:rPr>
          <w:rFonts w:hint="eastAsia" w:ascii="宋体" w:hAnsi="宋体" w:cs="宋体"/>
          <w:sz w:val="28"/>
          <w:szCs w:val="28"/>
          <w:highlight w:val="none"/>
          <w:lang w:val="en-US" w:eastAsia="zh-CN"/>
        </w:rPr>
        <w:t xml:space="preserve"> </w:t>
      </w:r>
      <w:r>
        <w:rPr>
          <w:rFonts w:hint="eastAsia" w:ascii="宋体" w:hAnsi="宋体" w:eastAsia="宋体" w:cs="宋体"/>
          <w:sz w:val="28"/>
          <w:szCs w:val="28"/>
          <w:highlight w:val="none"/>
        </w:rPr>
        <w:t>负</w:t>
      </w:r>
      <w:r>
        <w:rPr>
          <w:rFonts w:hint="eastAsia" w:ascii="宋体" w:hAnsi="宋体" w:cs="宋体"/>
          <w:sz w:val="28"/>
          <w:szCs w:val="28"/>
          <w:highlight w:val="none"/>
          <w:lang w:val="en-US" w:eastAsia="zh-CN"/>
        </w:rPr>
        <w:t xml:space="preserve"> </w:t>
      </w:r>
      <w:r>
        <w:rPr>
          <w:rFonts w:hint="eastAsia" w:ascii="宋体" w:hAnsi="宋体" w:eastAsia="宋体" w:cs="宋体"/>
          <w:sz w:val="28"/>
          <w:szCs w:val="28"/>
          <w:highlight w:val="none"/>
        </w:rPr>
        <w:t>责</w:t>
      </w:r>
      <w:r>
        <w:rPr>
          <w:rFonts w:hint="eastAsia" w:ascii="宋体" w:hAnsi="宋体" w:cs="宋体"/>
          <w:sz w:val="28"/>
          <w:szCs w:val="28"/>
          <w:highlight w:val="none"/>
          <w:lang w:val="en-US" w:eastAsia="zh-CN"/>
        </w:rPr>
        <w:t xml:space="preserve"> </w:t>
      </w:r>
      <w:r>
        <w:rPr>
          <w:rFonts w:hint="eastAsia" w:ascii="宋体" w:hAnsi="宋体" w:eastAsia="宋体" w:cs="宋体"/>
          <w:sz w:val="28"/>
          <w:szCs w:val="28"/>
          <w:highlight w:val="none"/>
        </w:rPr>
        <w:t>人：</w:t>
      </w:r>
      <w:r>
        <w:rPr>
          <w:rFonts w:eastAsia="仿宋_GB2312"/>
          <w:bCs/>
          <w:sz w:val="15"/>
          <w:szCs w:val="15"/>
          <w:highlight w:val="none"/>
        </w:rPr>
        <w:t>（</w:t>
      </w:r>
      <w:r>
        <w:rPr>
          <w:rFonts w:hint="eastAsia" w:eastAsia="仿宋_GB2312"/>
          <w:bCs/>
          <w:sz w:val="15"/>
          <w:szCs w:val="15"/>
          <w:highlight w:val="none"/>
          <w:lang w:val="en-US" w:eastAsia="zh-CN"/>
        </w:rPr>
        <w:t>居中，</w:t>
      </w:r>
      <w:r>
        <w:rPr>
          <w:rFonts w:hint="eastAsia" w:eastAsia="仿宋_GB2312"/>
          <w:bCs/>
          <w:sz w:val="15"/>
          <w:szCs w:val="15"/>
          <w:highlight w:val="none"/>
        </w:rPr>
        <w:t>四号宋体</w:t>
      </w:r>
      <w:r>
        <w:rPr>
          <w:rFonts w:eastAsia="仿宋_GB2312"/>
          <w:bCs/>
          <w:sz w:val="15"/>
          <w:szCs w:val="15"/>
          <w:highlight w:val="none"/>
        </w:rPr>
        <w:t>）</w:t>
      </w:r>
    </w:p>
    <w:p w14:paraId="40AC4CC4">
      <w:pPr>
        <w:pBdr>
          <w:top w:val="none" w:color="auto" w:sz="0" w:space="1"/>
          <w:left w:val="none" w:color="auto" w:sz="0" w:space="4"/>
          <w:bottom w:val="none" w:color="auto" w:sz="0" w:space="1"/>
          <w:right w:val="none" w:color="auto" w:sz="0" w:space="4"/>
        </w:pBdr>
        <w:spacing w:line="600" w:lineRule="exact"/>
        <w:jc w:val="center"/>
        <w:rPr>
          <w:rFonts w:eastAsia="仿宋_GB2312"/>
          <w:bCs/>
          <w:sz w:val="15"/>
          <w:szCs w:val="15"/>
          <w:highlight w:val="none"/>
        </w:rPr>
      </w:pPr>
      <w:r>
        <w:rPr>
          <w:rFonts w:hint="eastAsia" w:ascii="宋体" w:hAnsi="宋体" w:eastAsia="宋体" w:cs="宋体"/>
          <w:sz w:val="28"/>
          <w:szCs w:val="28"/>
          <w:highlight w:val="none"/>
        </w:rPr>
        <w:t>评价项目负责人：</w:t>
      </w:r>
      <w:r>
        <w:rPr>
          <w:rFonts w:eastAsia="仿宋_GB2312"/>
          <w:bCs/>
          <w:sz w:val="15"/>
          <w:szCs w:val="15"/>
          <w:highlight w:val="none"/>
        </w:rPr>
        <w:t>（</w:t>
      </w:r>
      <w:r>
        <w:rPr>
          <w:rFonts w:hint="eastAsia" w:eastAsia="仿宋_GB2312"/>
          <w:bCs/>
          <w:sz w:val="15"/>
          <w:szCs w:val="15"/>
          <w:highlight w:val="none"/>
          <w:lang w:val="en-US" w:eastAsia="zh-CN"/>
        </w:rPr>
        <w:t>居中，</w:t>
      </w:r>
      <w:r>
        <w:rPr>
          <w:rFonts w:hint="eastAsia" w:eastAsia="仿宋_GB2312"/>
          <w:bCs/>
          <w:sz w:val="15"/>
          <w:szCs w:val="15"/>
          <w:highlight w:val="none"/>
        </w:rPr>
        <w:t>四号宋体</w:t>
      </w:r>
      <w:r>
        <w:rPr>
          <w:rFonts w:eastAsia="仿宋_GB2312"/>
          <w:bCs/>
          <w:sz w:val="15"/>
          <w:szCs w:val="15"/>
          <w:highlight w:val="none"/>
        </w:rPr>
        <w:t>）</w:t>
      </w:r>
    </w:p>
    <w:p w14:paraId="341565C4">
      <w:pPr>
        <w:pBdr>
          <w:top w:val="none" w:color="auto" w:sz="0" w:space="1"/>
          <w:left w:val="none" w:color="auto" w:sz="0" w:space="4"/>
          <w:bottom w:val="none" w:color="auto" w:sz="0" w:space="1"/>
          <w:right w:val="none" w:color="auto" w:sz="0" w:space="4"/>
        </w:pBdr>
        <w:spacing w:line="600" w:lineRule="exact"/>
        <w:jc w:val="center"/>
        <w:rPr>
          <w:rFonts w:eastAsia="仿宋_GB2312"/>
          <w:bCs/>
          <w:sz w:val="15"/>
          <w:szCs w:val="15"/>
          <w:highlight w:val="none"/>
        </w:rPr>
      </w:pPr>
    </w:p>
    <w:p w14:paraId="6224FEA1">
      <w:pPr>
        <w:pBdr>
          <w:top w:val="none" w:color="auto" w:sz="0" w:space="1"/>
          <w:left w:val="none" w:color="auto" w:sz="0" w:space="4"/>
          <w:bottom w:val="none" w:color="auto" w:sz="0" w:space="1"/>
          <w:right w:val="none" w:color="auto" w:sz="0" w:space="4"/>
        </w:pBdr>
        <w:spacing w:line="600" w:lineRule="exact"/>
        <w:jc w:val="center"/>
        <w:rPr>
          <w:rFonts w:eastAsia="仿宋_GB2312"/>
          <w:bCs/>
          <w:sz w:val="15"/>
          <w:szCs w:val="15"/>
          <w:highlight w:val="none"/>
        </w:rPr>
      </w:pPr>
    </w:p>
    <w:p w14:paraId="17E9F994">
      <w:pPr>
        <w:pBdr>
          <w:top w:val="none" w:color="auto" w:sz="0" w:space="1"/>
          <w:left w:val="none" w:color="auto" w:sz="0" w:space="4"/>
          <w:bottom w:val="none" w:color="auto" w:sz="0" w:space="1"/>
          <w:right w:val="none" w:color="auto" w:sz="0" w:space="4"/>
        </w:pBdr>
        <w:spacing w:line="600" w:lineRule="exact"/>
        <w:jc w:val="center"/>
        <w:rPr>
          <w:rFonts w:eastAsia="仿宋_GB2312"/>
          <w:bCs/>
          <w:sz w:val="15"/>
          <w:szCs w:val="15"/>
          <w:highlight w:val="none"/>
        </w:rPr>
      </w:pPr>
    </w:p>
    <w:p w14:paraId="2E7338C2">
      <w:pPr>
        <w:pBdr>
          <w:top w:val="none" w:color="auto" w:sz="0" w:space="1"/>
          <w:left w:val="none" w:color="auto" w:sz="0" w:space="4"/>
          <w:bottom w:val="none" w:color="auto" w:sz="0" w:space="1"/>
          <w:right w:val="none" w:color="auto" w:sz="0" w:space="4"/>
        </w:pBdr>
        <w:spacing w:line="600" w:lineRule="exact"/>
        <w:jc w:val="center"/>
        <w:rPr>
          <w:rFonts w:eastAsia="仿宋_GB2312"/>
          <w:bCs/>
          <w:sz w:val="15"/>
          <w:szCs w:val="15"/>
          <w:highlight w:val="none"/>
        </w:rPr>
      </w:pPr>
    </w:p>
    <w:p w14:paraId="2E28A92B">
      <w:pPr>
        <w:pBdr>
          <w:top w:val="none" w:color="auto" w:sz="0" w:space="1"/>
          <w:left w:val="none" w:color="auto" w:sz="0" w:space="4"/>
          <w:bottom w:val="none" w:color="auto" w:sz="0" w:space="1"/>
          <w:right w:val="none" w:color="auto" w:sz="0" w:space="4"/>
        </w:pBdr>
        <w:spacing w:line="600" w:lineRule="exact"/>
        <w:jc w:val="center"/>
        <w:rPr>
          <w:rFonts w:eastAsia="仿宋_GB2312"/>
          <w:bCs/>
          <w:sz w:val="15"/>
          <w:szCs w:val="15"/>
          <w:highlight w:val="none"/>
        </w:rPr>
      </w:pPr>
    </w:p>
    <w:p w14:paraId="0567F19D">
      <w:pPr>
        <w:pBdr>
          <w:top w:val="none" w:color="auto" w:sz="0" w:space="1"/>
          <w:left w:val="none" w:color="auto" w:sz="0" w:space="4"/>
          <w:bottom w:val="none" w:color="auto" w:sz="0" w:space="1"/>
          <w:right w:val="none" w:color="auto" w:sz="0" w:space="4"/>
        </w:pBdr>
        <w:spacing w:line="600" w:lineRule="exact"/>
        <w:jc w:val="center"/>
        <w:rPr>
          <w:b/>
          <w:bCs/>
          <w:sz w:val="44"/>
          <w:szCs w:val="44"/>
          <w:highlight w:val="none"/>
        </w:rPr>
      </w:pPr>
      <w:r>
        <w:rPr>
          <w:rFonts w:hint="eastAsia" w:ascii="宋体" w:hAnsi="宋体" w:cs="宋体"/>
          <w:b/>
          <w:sz w:val="24"/>
          <w:highlight w:val="none"/>
          <w:lang w:eastAsia="zh-CN"/>
        </w:rPr>
        <w:t>（</w:t>
      </w:r>
      <w:r>
        <w:rPr>
          <w:rFonts w:hint="eastAsia" w:ascii="宋体" w:hAnsi="宋体" w:eastAsia="宋体" w:cs="宋体"/>
          <w:b/>
          <w:sz w:val="24"/>
          <w:highlight w:val="none"/>
        </w:rPr>
        <w:t>评价报告完成日期</w:t>
      </w:r>
      <w:r>
        <w:rPr>
          <w:rFonts w:hint="eastAsia" w:ascii="宋体" w:hAnsi="宋体" w:cs="宋体"/>
          <w:b/>
          <w:sz w:val="24"/>
          <w:highlight w:val="none"/>
          <w:lang w:eastAsia="zh-CN"/>
        </w:rPr>
        <w:t>）</w:t>
      </w:r>
      <w:r>
        <w:rPr>
          <w:rFonts w:eastAsia="仿宋_GB2312"/>
          <w:bCs/>
          <w:sz w:val="15"/>
          <w:szCs w:val="15"/>
          <w:highlight w:val="none"/>
        </w:rPr>
        <w:t>（</w:t>
      </w:r>
      <w:r>
        <w:rPr>
          <w:rFonts w:hint="eastAsia" w:eastAsia="仿宋_GB2312"/>
          <w:bCs/>
          <w:sz w:val="15"/>
          <w:szCs w:val="15"/>
          <w:highlight w:val="none"/>
          <w:lang w:val="en-US" w:eastAsia="zh-CN"/>
        </w:rPr>
        <w:t>居中，</w:t>
      </w:r>
      <w:r>
        <w:rPr>
          <w:rFonts w:hint="eastAsia" w:eastAsia="仿宋_GB2312"/>
          <w:bCs/>
          <w:sz w:val="15"/>
          <w:szCs w:val="15"/>
          <w:highlight w:val="none"/>
        </w:rPr>
        <w:t>小四号宋体加粗</w:t>
      </w:r>
      <w:r>
        <w:rPr>
          <w:rFonts w:eastAsia="仿宋_GB2312"/>
          <w:bCs/>
          <w:sz w:val="15"/>
          <w:szCs w:val="15"/>
          <w:highlight w:val="none"/>
        </w:rPr>
        <w:t>）</w:t>
      </w:r>
    </w:p>
    <w:p w14:paraId="7B5D2B83">
      <w:pPr>
        <w:pBdr>
          <w:top w:val="none" w:color="auto" w:sz="0" w:space="1"/>
          <w:left w:val="none" w:color="auto" w:sz="0" w:space="4"/>
          <w:bottom w:val="none" w:color="auto" w:sz="0" w:space="1"/>
          <w:right w:val="none" w:color="auto" w:sz="0" w:space="4"/>
        </w:pBdr>
        <w:jc w:val="center"/>
        <w:rPr>
          <w:rFonts w:eastAsia="仿宋_GB2312"/>
          <w:sz w:val="32"/>
          <w:highlight w:val="none"/>
        </w:rPr>
      </w:pPr>
      <w:r>
        <w:rPr>
          <w:rFonts w:hint="eastAsia" w:ascii="宋体" w:hAnsi="宋体" w:eastAsia="宋体" w:cs="宋体"/>
          <w:sz w:val="21"/>
          <w:szCs w:val="21"/>
          <w:highlight w:val="none"/>
        </w:rPr>
        <w:t>（安全评价机构公章）</w:t>
      </w:r>
    </w:p>
    <w:p w14:paraId="21681F49">
      <w:pPr>
        <w:pBdr>
          <w:top w:val="none" w:color="auto" w:sz="0" w:space="1"/>
          <w:left w:val="none" w:color="auto" w:sz="0" w:space="4"/>
          <w:bottom w:val="none" w:color="auto" w:sz="0" w:space="1"/>
          <w:right w:val="none" w:color="auto" w:sz="0" w:space="4"/>
        </w:pBdr>
        <w:jc w:val="center"/>
        <w:rPr>
          <w:rFonts w:eastAsia="仿宋_GB2312"/>
          <w:sz w:val="32"/>
          <w:highlight w:val="none"/>
        </w:rPr>
      </w:pPr>
    </w:p>
    <w:p w14:paraId="441FCEE0">
      <w:pPr>
        <w:pStyle w:val="52"/>
        <w:numPr>
          <w:ilvl w:val="0"/>
          <w:numId w:val="0"/>
        </w:numPr>
        <w:spacing w:after="0" w:afterLines="0"/>
        <w:rPr>
          <w:color w:val="000000"/>
          <w:highlight w:val="none"/>
        </w:rPr>
      </w:pPr>
      <w:r>
        <w:rPr>
          <w:rFonts w:hint="eastAsia"/>
          <w:color w:val="000000"/>
          <w:highlight w:val="none"/>
        </w:rPr>
        <w:t>图</w:t>
      </w:r>
      <w:r>
        <w:rPr>
          <w:rFonts w:hint="eastAsia" w:ascii="宋体" w:hAnsi="宋体" w:eastAsia="宋体" w:cs="宋体"/>
          <w:b/>
          <w:bCs/>
          <w:color w:val="000000"/>
          <w:kern w:val="21"/>
          <w:sz w:val="21"/>
          <w:highlight w:val="none"/>
          <w:lang w:val="en-US" w:eastAsia="zh-CN" w:bidi="ar-SA"/>
        </w:rPr>
        <w:t>C.2　</w:t>
      </w:r>
      <w:r>
        <w:rPr>
          <w:rFonts w:hint="eastAsia"/>
          <w:color w:val="000000"/>
          <w:highlight w:val="none"/>
        </w:rPr>
        <w:t>著录项首页</w:t>
      </w:r>
      <w:r>
        <w:rPr>
          <w:rFonts w:hint="eastAsia"/>
          <w:color w:val="000000"/>
          <w:highlight w:val="none"/>
          <w:lang w:val="en-US" w:eastAsia="zh-CN"/>
        </w:rPr>
        <w:t>式</w:t>
      </w:r>
      <w:r>
        <w:rPr>
          <w:rFonts w:hint="eastAsia"/>
          <w:color w:val="000000"/>
          <w:highlight w:val="none"/>
        </w:rPr>
        <w:t>样</w:t>
      </w:r>
    </w:p>
    <w:p w14:paraId="0B548E23">
      <w:pPr>
        <w:rPr>
          <w:rFonts w:ascii="宋体" w:hAnsi="宋体" w:cs="宋体"/>
          <w:color w:val="000000"/>
          <w:kern w:val="0"/>
          <w:sz w:val="24"/>
          <w:highlight w:val="none"/>
        </w:rPr>
        <w:sectPr>
          <w:headerReference r:id="rId19" w:type="default"/>
          <w:footerReference r:id="rId21" w:type="default"/>
          <w:headerReference r:id="rId20" w:type="even"/>
          <w:footerReference r:id="rId22" w:type="even"/>
          <w:pgSz w:w="11906" w:h="16838"/>
          <w:pgMar w:top="1843" w:right="1134" w:bottom="1134" w:left="1417" w:header="1361" w:footer="1111" w:gutter="0"/>
          <w:cols w:space="720" w:num="1"/>
          <w:formProt w:val="0"/>
          <w:docGrid w:type="lines" w:linePitch="312" w:charSpace="0"/>
        </w:sectPr>
      </w:pPr>
    </w:p>
    <w:p w14:paraId="59AC59E6">
      <w:pPr>
        <w:rPr>
          <w:rFonts w:ascii="宋体" w:hAnsi="宋体" w:cs="宋体"/>
          <w:color w:val="000000"/>
          <w:kern w:val="0"/>
          <w:sz w:val="24"/>
          <w:highlight w:val="none"/>
        </w:rPr>
      </w:pPr>
      <w:r>
        <w:rPr>
          <w:sz w:val="21"/>
          <w:highlight w:val="none"/>
        </w:rPr>
        <mc:AlternateContent>
          <mc:Choice Requires="wps">
            <w:drawing>
              <wp:anchor distT="0" distB="0" distL="114300" distR="114300" simplePos="0" relativeHeight="251720704" behindDoc="0" locked="0" layoutInCell="1" allowOverlap="1">
                <wp:simplePos x="0" y="0"/>
                <wp:positionH relativeFrom="column">
                  <wp:posOffset>-59055</wp:posOffset>
                </wp:positionH>
                <wp:positionV relativeFrom="paragraph">
                  <wp:posOffset>39370</wp:posOffset>
                </wp:positionV>
                <wp:extent cx="6057265" cy="7878445"/>
                <wp:effectExtent l="5080" t="4445" r="8255" b="16510"/>
                <wp:wrapNone/>
                <wp:docPr id="2" name="矩形 2"/>
                <wp:cNvGraphicFramePr/>
                <a:graphic xmlns:a="http://schemas.openxmlformats.org/drawingml/2006/main">
                  <a:graphicData uri="http://schemas.microsoft.com/office/word/2010/wordprocessingShape">
                    <wps:wsp>
                      <wps:cNvSpPr/>
                      <wps:spPr>
                        <a:xfrm>
                          <a:off x="0" y="0"/>
                          <a:ext cx="6057265" cy="787844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65pt;margin-top:3.1pt;height:620.35pt;width:476.95pt;z-index:251720704;v-text-anchor:middle;mso-width-relative:page;mso-height-relative:page;" filled="f" stroked="t" coordsize="21600,21600" o:gfxdata="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NXWa21wAAAAkBAAAPAAAAAAAAAAEAIAAAACIAAABkcnMvZG93bnJldi54bWxQSwEC&#10;FAAUAAAACACHTuJAVXVgDWcCAADLBAAADgAAAAAAAAABACAAAAAmAQAAZHJzL2Uyb0RvYy54bWxQ&#10;SwUGAAAAAAYABgBZAQAA/wUAAAAA&#10;">
                <v:fill on="f" focussize="0,0"/>
                <v:stroke weight="0.5pt" color="#000000 [3213]" miterlimit="8" joinstyle="miter"/>
                <v:imagedata o:title=""/>
                <o:lock v:ext="edit" aspectratio="f"/>
              </v:rect>
            </w:pict>
          </mc:Fallback>
        </mc:AlternateContent>
      </w:r>
    </w:p>
    <w:p w14:paraId="24FBF6A3">
      <w:pPr>
        <w:keepNext w:val="0"/>
        <w:keepLines w:val="0"/>
        <w:widowControl w:val="0"/>
        <w:suppressLineNumbers w:val="0"/>
        <w:adjustRightInd w:val="0"/>
        <w:spacing w:before="0" w:beforeAutospacing="0" w:after="0" w:afterAutospacing="0" w:line="440" w:lineRule="exact"/>
        <w:ind w:left="0" w:right="0"/>
        <w:jc w:val="center"/>
        <w:rPr>
          <w:rFonts w:hint="eastAsia" w:ascii="Times New Roman" w:hAnsi="Times New Roman" w:eastAsia="宋体" w:cs="Times New Roman"/>
          <w:b/>
          <w:bCs w:val="0"/>
          <w:kern w:val="2"/>
          <w:sz w:val="32"/>
          <w:szCs w:val="32"/>
          <w:highlight w:val="none"/>
        </w:rPr>
      </w:pPr>
      <w:r>
        <w:rPr>
          <w:rFonts w:hint="eastAsia" w:ascii="宋体" w:hAnsi="宋体" w:eastAsia="宋体" w:cs="宋体"/>
          <w:b/>
          <w:bCs w:val="0"/>
          <w:kern w:val="2"/>
          <w:sz w:val="32"/>
          <w:szCs w:val="32"/>
          <w:highlight w:val="none"/>
          <w:lang w:val="en-US" w:eastAsia="zh-CN" w:bidi="ar"/>
        </w:rPr>
        <w:t>（评价项目名称）</w:t>
      </w:r>
    </w:p>
    <w:p w14:paraId="2154D3F6">
      <w:pPr>
        <w:keepNext w:val="0"/>
        <w:keepLines w:val="0"/>
        <w:widowControl w:val="0"/>
        <w:suppressLineNumbers w:val="0"/>
        <w:adjustRightInd w:val="0"/>
        <w:spacing w:before="0" w:beforeAutospacing="0" w:after="0" w:afterAutospacing="0" w:line="440" w:lineRule="exact"/>
        <w:ind w:left="0" w:right="0"/>
        <w:jc w:val="center"/>
        <w:rPr>
          <w:rFonts w:hint="eastAsia" w:ascii="Times New Roman" w:hAnsi="Times New Roman" w:eastAsia="宋体" w:cs="Times New Roman"/>
          <w:b/>
          <w:bCs w:val="0"/>
          <w:kern w:val="2"/>
          <w:sz w:val="32"/>
          <w:szCs w:val="32"/>
          <w:highlight w:val="none"/>
        </w:rPr>
      </w:pPr>
      <w:r>
        <w:rPr>
          <w:rFonts w:hint="default" w:ascii="仿宋_GB2312" w:hAnsi="Calibri" w:eastAsia="仿宋_GB2312" w:cs="仿宋_GB2312"/>
          <w:bCs/>
          <w:kern w:val="2"/>
          <w:sz w:val="15"/>
          <w:szCs w:val="15"/>
          <w:highlight w:val="none"/>
          <w:lang w:val="en-US" w:eastAsia="zh-CN" w:bidi="ar"/>
        </w:rPr>
        <w:t>（居中，三号宋体加粗）</w:t>
      </w:r>
    </w:p>
    <w:tbl>
      <w:tblPr>
        <w:tblStyle w:val="36"/>
        <w:tblW w:w="496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515"/>
        <w:gridCol w:w="1024"/>
        <w:gridCol w:w="1680"/>
        <w:gridCol w:w="1273"/>
        <w:gridCol w:w="1388"/>
        <w:gridCol w:w="1364"/>
        <w:gridCol w:w="1041"/>
      </w:tblGrid>
      <w:tr w14:paraId="368AB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6" w:hRule="atLeast"/>
          <w:jc w:val="center"/>
        </w:trPr>
        <w:tc>
          <w:tcPr>
            <w:tcW w:w="815" w:type="pct"/>
            <w:tcBorders>
              <w:top w:val="single" w:color="auto" w:sz="4" w:space="0"/>
              <w:left w:val="single" w:color="auto" w:sz="4" w:space="0"/>
              <w:bottom w:val="single" w:color="auto" w:sz="4" w:space="0"/>
              <w:right w:val="single" w:color="auto" w:sz="4" w:space="0"/>
            </w:tcBorders>
            <w:shd w:val="clear" w:color="auto" w:fill="auto"/>
            <w:vAlign w:val="center"/>
          </w:tcPr>
          <w:p w14:paraId="054A2580">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551" w:type="pct"/>
            <w:tcBorders>
              <w:top w:val="single" w:color="auto" w:sz="4" w:space="0"/>
              <w:left w:val="single" w:color="auto" w:sz="4" w:space="0"/>
              <w:bottom w:val="single" w:color="auto" w:sz="4" w:space="0"/>
              <w:right w:val="single" w:color="auto" w:sz="4" w:space="0"/>
            </w:tcBorders>
            <w:shd w:val="clear" w:color="auto" w:fill="auto"/>
            <w:vAlign w:val="center"/>
          </w:tcPr>
          <w:p w14:paraId="0BDA93F3">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r>
              <w:rPr>
                <w:rFonts w:hint="eastAsia" w:ascii="宋体" w:hAnsi="宋体" w:eastAsia="宋体" w:cs="宋体"/>
                <w:color w:val="000000"/>
                <w:kern w:val="2"/>
                <w:sz w:val="21"/>
                <w:szCs w:val="21"/>
                <w:highlight w:val="none"/>
                <w:lang w:val="en-US" w:eastAsia="zh-CN" w:bidi="ar"/>
              </w:rPr>
              <w:t>姓名</w:t>
            </w:r>
          </w:p>
        </w:tc>
        <w:tc>
          <w:tcPr>
            <w:tcW w:w="904" w:type="pct"/>
            <w:tcBorders>
              <w:top w:val="single" w:color="auto" w:sz="4" w:space="0"/>
              <w:left w:val="single" w:color="auto" w:sz="4" w:space="0"/>
              <w:bottom w:val="single" w:color="auto" w:sz="4" w:space="0"/>
              <w:right w:val="single" w:color="auto" w:sz="4" w:space="0"/>
            </w:tcBorders>
            <w:shd w:val="clear" w:color="auto" w:fill="auto"/>
            <w:vAlign w:val="center"/>
          </w:tcPr>
          <w:p w14:paraId="414E1DED">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kern w:val="2"/>
                <w:sz w:val="21"/>
                <w:szCs w:val="21"/>
                <w:highlight w:val="none"/>
              </w:rPr>
            </w:pPr>
            <w:r>
              <w:rPr>
                <w:rFonts w:hint="eastAsia" w:ascii="宋体" w:hAnsi="宋体" w:cs="宋体"/>
                <w:kern w:val="2"/>
                <w:sz w:val="21"/>
                <w:szCs w:val="21"/>
                <w:highlight w:val="none"/>
                <w:lang w:val="en-US" w:eastAsia="zh-CN" w:bidi="ar"/>
              </w:rPr>
              <w:t>安全评价师/注册安全工程师</w:t>
            </w:r>
          </w:p>
        </w:tc>
        <w:tc>
          <w:tcPr>
            <w:tcW w:w="685" w:type="pct"/>
            <w:tcBorders>
              <w:top w:val="single" w:color="auto" w:sz="4" w:space="0"/>
              <w:left w:val="single" w:color="auto" w:sz="4" w:space="0"/>
              <w:bottom w:val="single" w:color="auto" w:sz="4" w:space="0"/>
              <w:right w:val="single" w:color="auto" w:sz="4" w:space="0"/>
            </w:tcBorders>
            <w:shd w:val="clear" w:color="auto" w:fill="auto"/>
            <w:vAlign w:val="center"/>
          </w:tcPr>
          <w:p w14:paraId="670A4BC7">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kern w:val="2"/>
                <w:sz w:val="32"/>
                <w:szCs w:val="32"/>
                <w:highlight w:val="none"/>
              </w:rPr>
            </w:pPr>
            <w:r>
              <w:rPr>
                <w:rFonts w:hint="eastAsia" w:ascii="宋体" w:hAnsi="宋体" w:eastAsia="宋体" w:cs="宋体"/>
                <w:kern w:val="2"/>
                <w:sz w:val="21"/>
                <w:szCs w:val="21"/>
                <w:highlight w:val="none"/>
                <w:lang w:val="en-US" w:eastAsia="zh-CN" w:bidi="ar"/>
              </w:rPr>
              <w:t>证书编号</w:t>
            </w:r>
          </w:p>
        </w:tc>
        <w:tc>
          <w:tcPr>
            <w:tcW w:w="747" w:type="pct"/>
            <w:tcBorders>
              <w:top w:val="single" w:color="auto" w:sz="4" w:space="0"/>
              <w:left w:val="single" w:color="auto" w:sz="4" w:space="0"/>
              <w:bottom w:val="single" w:color="auto" w:sz="4" w:space="0"/>
              <w:right w:val="single" w:color="auto" w:sz="4" w:space="0"/>
            </w:tcBorders>
            <w:shd w:val="clear" w:color="auto" w:fill="auto"/>
            <w:vAlign w:val="center"/>
          </w:tcPr>
          <w:p w14:paraId="36229716">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21"/>
                <w:szCs w:val="21"/>
                <w:highlight w:val="none"/>
              </w:rPr>
            </w:pPr>
            <w:r>
              <w:rPr>
                <w:rFonts w:hint="eastAsia" w:ascii="宋体" w:hAnsi="宋体" w:cs="宋体"/>
                <w:color w:val="000000"/>
                <w:kern w:val="2"/>
                <w:sz w:val="21"/>
                <w:szCs w:val="21"/>
                <w:highlight w:val="none"/>
                <w:lang w:val="en-US" w:eastAsia="zh-CN" w:bidi="ar"/>
              </w:rPr>
              <w:t>从业编号/注册号</w:t>
            </w:r>
          </w:p>
        </w:tc>
        <w:tc>
          <w:tcPr>
            <w:tcW w:w="734" w:type="pct"/>
            <w:tcBorders>
              <w:top w:val="single" w:color="auto" w:sz="4" w:space="0"/>
              <w:left w:val="single" w:color="auto" w:sz="4" w:space="0"/>
              <w:bottom w:val="single" w:color="auto" w:sz="4" w:space="0"/>
              <w:right w:val="single" w:color="auto" w:sz="4" w:space="0"/>
            </w:tcBorders>
            <w:shd w:val="clear" w:color="auto" w:fill="auto"/>
            <w:vAlign w:val="center"/>
          </w:tcPr>
          <w:p w14:paraId="2D436DF1">
            <w:pPr>
              <w:keepNext w:val="0"/>
              <w:keepLines w:val="0"/>
              <w:widowControl w:val="0"/>
              <w:suppressLineNumbers w:val="0"/>
              <w:adjustRightInd w:val="0"/>
              <w:spacing w:before="0" w:beforeAutospacing="0" w:after="0" w:afterAutospacing="0" w:line="400" w:lineRule="exact"/>
              <w:ind w:left="0" w:right="0"/>
              <w:jc w:val="center"/>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专业能力</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14:paraId="4EB4A0B8">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r>
              <w:rPr>
                <w:rFonts w:hint="eastAsia" w:ascii="宋体" w:hAnsi="宋体" w:eastAsia="宋体" w:cs="宋体"/>
                <w:color w:val="000000"/>
                <w:kern w:val="2"/>
                <w:sz w:val="21"/>
                <w:szCs w:val="21"/>
                <w:highlight w:val="none"/>
                <w:lang w:val="en-US" w:eastAsia="zh-CN" w:bidi="ar"/>
              </w:rPr>
              <w:t>签字</w:t>
            </w:r>
          </w:p>
        </w:tc>
      </w:tr>
      <w:tr w14:paraId="01E19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815" w:type="pct"/>
            <w:tcBorders>
              <w:top w:val="single" w:color="auto" w:sz="4" w:space="0"/>
              <w:left w:val="single" w:color="auto" w:sz="4" w:space="0"/>
              <w:bottom w:val="single" w:color="auto" w:sz="4" w:space="0"/>
              <w:right w:val="single" w:color="auto" w:sz="4" w:space="0"/>
            </w:tcBorders>
            <w:shd w:val="clear" w:color="auto" w:fill="auto"/>
            <w:vAlign w:val="center"/>
          </w:tcPr>
          <w:p w14:paraId="0C8D20C3">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r>
              <w:rPr>
                <w:rFonts w:hint="eastAsia" w:ascii="宋体" w:hAnsi="宋体" w:eastAsia="宋体" w:cs="宋体"/>
                <w:color w:val="000000"/>
                <w:kern w:val="2"/>
                <w:sz w:val="21"/>
                <w:szCs w:val="21"/>
                <w:highlight w:val="none"/>
                <w:lang w:val="en-US" w:eastAsia="zh-CN" w:bidi="ar"/>
              </w:rPr>
              <w:t>项目负责人</w:t>
            </w:r>
          </w:p>
        </w:tc>
        <w:tc>
          <w:tcPr>
            <w:tcW w:w="551" w:type="pct"/>
            <w:tcBorders>
              <w:top w:val="single" w:color="auto" w:sz="4" w:space="0"/>
              <w:left w:val="single" w:color="auto" w:sz="4" w:space="0"/>
              <w:bottom w:val="single" w:color="auto" w:sz="4" w:space="0"/>
              <w:right w:val="single" w:color="auto" w:sz="4" w:space="0"/>
            </w:tcBorders>
            <w:shd w:val="clear" w:color="auto" w:fill="auto"/>
            <w:vAlign w:val="center"/>
          </w:tcPr>
          <w:p w14:paraId="5E590DE1">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904" w:type="pct"/>
            <w:tcBorders>
              <w:top w:val="single" w:color="auto" w:sz="4" w:space="0"/>
              <w:left w:val="single" w:color="auto" w:sz="4" w:space="0"/>
              <w:bottom w:val="single" w:color="auto" w:sz="4" w:space="0"/>
              <w:right w:val="single" w:color="auto" w:sz="4" w:space="0"/>
            </w:tcBorders>
            <w:shd w:val="clear" w:color="auto" w:fill="auto"/>
            <w:vAlign w:val="center"/>
          </w:tcPr>
          <w:p w14:paraId="68250F0E">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highlight w:val="none"/>
              </w:rPr>
            </w:pPr>
          </w:p>
        </w:tc>
        <w:tc>
          <w:tcPr>
            <w:tcW w:w="685" w:type="pct"/>
            <w:tcBorders>
              <w:top w:val="single" w:color="auto" w:sz="4" w:space="0"/>
              <w:left w:val="single" w:color="auto" w:sz="4" w:space="0"/>
              <w:bottom w:val="single" w:color="auto" w:sz="4" w:space="0"/>
              <w:right w:val="single" w:color="auto" w:sz="4" w:space="0"/>
            </w:tcBorders>
            <w:shd w:val="clear" w:color="auto" w:fill="auto"/>
            <w:vAlign w:val="center"/>
          </w:tcPr>
          <w:p w14:paraId="0DF48015">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highlight w:val="none"/>
              </w:rPr>
            </w:pPr>
          </w:p>
        </w:tc>
        <w:tc>
          <w:tcPr>
            <w:tcW w:w="747" w:type="pct"/>
            <w:tcBorders>
              <w:top w:val="single" w:color="auto" w:sz="4" w:space="0"/>
              <w:left w:val="single" w:color="auto" w:sz="4" w:space="0"/>
              <w:bottom w:val="single" w:color="auto" w:sz="4" w:space="0"/>
              <w:right w:val="single" w:color="auto" w:sz="4" w:space="0"/>
            </w:tcBorders>
            <w:shd w:val="clear" w:color="auto" w:fill="auto"/>
            <w:vAlign w:val="top"/>
          </w:tcPr>
          <w:p w14:paraId="3CE2CEA8">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734" w:type="pct"/>
            <w:tcBorders>
              <w:top w:val="single" w:color="auto" w:sz="4" w:space="0"/>
              <w:left w:val="single" w:color="auto" w:sz="4" w:space="0"/>
              <w:bottom w:val="single" w:color="auto" w:sz="4" w:space="0"/>
              <w:right w:val="single" w:color="auto" w:sz="4" w:space="0"/>
            </w:tcBorders>
            <w:shd w:val="clear" w:color="auto" w:fill="auto"/>
            <w:vAlign w:val="center"/>
          </w:tcPr>
          <w:p w14:paraId="2487BD43">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14:paraId="68316B45">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r>
      <w:tr w14:paraId="6C256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0" w:hRule="atLeast"/>
          <w:jc w:val="center"/>
        </w:trPr>
        <w:tc>
          <w:tcPr>
            <w:tcW w:w="815" w:type="pct"/>
            <w:vMerge w:val="restart"/>
            <w:tcBorders>
              <w:top w:val="nil"/>
              <w:left w:val="single" w:color="auto" w:sz="4" w:space="0"/>
              <w:bottom w:val="single" w:color="auto" w:sz="4" w:space="0"/>
              <w:right w:val="single" w:color="auto" w:sz="4" w:space="0"/>
            </w:tcBorders>
            <w:shd w:val="clear" w:color="auto" w:fill="auto"/>
            <w:vAlign w:val="center"/>
          </w:tcPr>
          <w:p w14:paraId="63DFD568">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r>
              <w:rPr>
                <w:rFonts w:hint="eastAsia" w:ascii="宋体" w:hAnsi="宋体" w:eastAsia="宋体" w:cs="宋体"/>
                <w:color w:val="000000"/>
                <w:kern w:val="2"/>
                <w:sz w:val="21"/>
                <w:szCs w:val="21"/>
                <w:highlight w:val="none"/>
                <w:lang w:val="en-US" w:eastAsia="zh-CN" w:bidi="ar"/>
              </w:rPr>
              <w:t>项目组成员</w:t>
            </w:r>
          </w:p>
        </w:tc>
        <w:tc>
          <w:tcPr>
            <w:tcW w:w="551" w:type="pct"/>
            <w:tcBorders>
              <w:top w:val="single" w:color="auto" w:sz="4" w:space="0"/>
              <w:left w:val="single" w:color="auto" w:sz="4" w:space="0"/>
              <w:bottom w:val="single" w:color="auto" w:sz="4" w:space="0"/>
              <w:right w:val="single" w:color="auto" w:sz="4" w:space="0"/>
            </w:tcBorders>
            <w:shd w:val="clear" w:color="auto" w:fill="auto"/>
            <w:vAlign w:val="center"/>
          </w:tcPr>
          <w:p w14:paraId="066989B1">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904" w:type="pct"/>
            <w:tcBorders>
              <w:top w:val="single" w:color="auto" w:sz="4" w:space="0"/>
              <w:left w:val="single" w:color="auto" w:sz="4" w:space="0"/>
              <w:bottom w:val="single" w:color="auto" w:sz="4" w:space="0"/>
              <w:right w:val="single" w:color="auto" w:sz="4" w:space="0"/>
            </w:tcBorders>
            <w:shd w:val="clear" w:color="auto" w:fill="auto"/>
            <w:vAlign w:val="center"/>
          </w:tcPr>
          <w:p w14:paraId="75DE19CA">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highlight w:val="none"/>
              </w:rPr>
            </w:pPr>
          </w:p>
        </w:tc>
        <w:tc>
          <w:tcPr>
            <w:tcW w:w="685" w:type="pct"/>
            <w:tcBorders>
              <w:top w:val="single" w:color="auto" w:sz="4" w:space="0"/>
              <w:left w:val="single" w:color="auto" w:sz="4" w:space="0"/>
              <w:bottom w:val="single" w:color="auto" w:sz="4" w:space="0"/>
              <w:right w:val="single" w:color="auto" w:sz="4" w:space="0"/>
            </w:tcBorders>
            <w:shd w:val="clear" w:color="auto" w:fill="auto"/>
            <w:vAlign w:val="center"/>
          </w:tcPr>
          <w:p w14:paraId="60B23583">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highlight w:val="none"/>
              </w:rPr>
            </w:pPr>
          </w:p>
        </w:tc>
        <w:tc>
          <w:tcPr>
            <w:tcW w:w="747" w:type="pct"/>
            <w:tcBorders>
              <w:top w:val="single" w:color="auto" w:sz="4" w:space="0"/>
              <w:left w:val="single" w:color="auto" w:sz="4" w:space="0"/>
              <w:bottom w:val="single" w:color="auto" w:sz="4" w:space="0"/>
              <w:right w:val="single" w:color="auto" w:sz="4" w:space="0"/>
            </w:tcBorders>
            <w:shd w:val="clear" w:color="auto" w:fill="auto"/>
            <w:vAlign w:val="top"/>
          </w:tcPr>
          <w:p w14:paraId="61D1FE10">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734" w:type="pct"/>
            <w:tcBorders>
              <w:top w:val="single" w:color="auto" w:sz="4" w:space="0"/>
              <w:left w:val="single" w:color="auto" w:sz="4" w:space="0"/>
              <w:bottom w:val="single" w:color="auto" w:sz="4" w:space="0"/>
              <w:right w:val="single" w:color="auto" w:sz="4" w:space="0"/>
            </w:tcBorders>
            <w:shd w:val="clear" w:color="auto" w:fill="auto"/>
            <w:vAlign w:val="center"/>
          </w:tcPr>
          <w:p w14:paraId="60C1510F">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14:paraId="17680DAE">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r>
      <w:tr w14:paraId="603B6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815" w:type="pct"/>
            <w:vMerge w:val="continue"/>
            <w:tcBorders>
              <w:top w:val="nil"/>
              <w:left w:val="single" w:color="auto" w:sz="4" w:space="0"/>
              <w:bottom w:val="single" w:color="auto" w:sz="4" w:space="0"/>
              <w:right w:val="single" w:color="auto" w:sz="4" w:space="0"/>
            </w:tcBorders>
            <w:shd w:val="clear" w:color="auto" w:fill="auto"/>
            <w:vAlign w:val="center"/>
          </w:tcPr>
          <w:p w14:paraId="39547D5D">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551" w:type="pct"/>
            <w:tcBorders>
              <w:top w:val="single" w:color="auto" w:sz="4" w:space="0"/>
              <w:left w:val="single" w:color="auto" w:sz="4" w:space="0"/>
              <w:bottom w:val="single" w:color="auto" w:sz="4" w:space="0"/>
              <w:right w:val="single" w:color="auto" w:sz="4" w:space="0"/>
            </w:tcBorders>
            <w:shd w:val="clear" w:color="auto" w:fill="auto"/>
            <w:vAlign w:val="center"/>
          </w:tcPr>
          <w:p w14:paraId="166E8BAD">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904" w:type="pct"/>
            <w:tcBorders>
              <w:top w:val="single" w:color="auto" w:sz="4" w:space="0"/>
              <w:left w:val="single" w:color="auto" w:sz="4" w:space="0"/>
              <w:bottom w:val="single" w:color="auto" w:sz="4" w:space="0"/>
              <w:right w:val="single" w:color="auto" w:sz="4" w:space="0"/>
            </w:tcBorders>
            <w:shd w:val="clear" w:color="auto" w:fill="auto"/>
            <w:vAlign w:val="center"/>
          </w:tcPr>
          <w:p w14:paraId="5DE70764">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highlight w:val="none"/>
              </w:rPr>
            </w:pPr>
          </w:p>
        </w:tc>
        <w:tc>
          <w:tcPr>
            <w:tcW w:w="685" w:type="pct"/>
            <w:tcBorders>
              <w:top w:val="single" w:color="auto" w:sz="4" w:space="0"/>
              <w:left w:val="single" w:color="auto" w:sz="4" w:space="0"/>
              <w:bottom w:val="single" w:color="auto" w:sz="4" w:space="0"/>
              <w:right w:val="single" w:color="auto" w:sz="4" w:space="0"/>
            </w:tcBorders>
            <w:shd w:val="clear" w:color="auto" w:fill="auto"/>
            <w:vAlign w:val="center"/>
          </w:tcPr>
          <w:p w14:paraId="06462646">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highlight w:val="none"/>
              </w:rPr>
            </w:pPr>
          </w:p>
        </w:tc>
        <w:tc>
          <w:tcPr>
            <w:tcW w:w="747" w:type="pct"/>
            <w:tcBorders>
              <w:top w:val="single" w:color="auto" w:sz="4" w:space="0"/>
              <w:left w:val="single" w:color="auto" w:sz="4" w:space="0"/>
              <w:bottom w:val="single" w:color="auto" w:sz="4" w:space="0"/>
              <w:right w:val="single" w:color="auto" w:sz="4" w:space="0"/>
            </w:tcBorders>
            <w:shd w:val="clear" w:color="auto" w:fill="auto"/>
            <w:vAlign w:val="top"/>
          </w:tcPr>
          <w:p w14:paraId="1077D02D">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734" w:type="pct"/>
            <w:tcBorders>
              <w:top w:val="single" w:color="auto" w:sz="4" w:space="0"/>
              <w:left w:val="single" w:color="auto" w:sz="4" w:space="0"/>
              <w:bottom w:val="single" w:color="auto" w:sz="4" w:space="0"/>
              <w:right w:val="single" w:color="auto" w:sz="4" w:space="0"/>
            </w:tcBorders>
            <w:shd w:val="clear" w:color="auto" w:fill="auto"/>
            <w:vAlign w:val="center"/>
          </w:tcPr>
          <w:p w14:paraId="2C0CE399">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14:paraId="161EC4B4">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r>
      <w:tr w14:paraId="42206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815" w:type="pct"/>
            <w:vMerge w:val="continue"/>
            <w:tcBorders>
              <w:top w:val="nil"/>
              <w:left w:val="single" w:color="auto" w:sz="4" w:space="0"/>
              <w:bottom w:val="single" w:color="auto" w:sz="4" w:space="0"/>
              <w:right w:val="single" w:color="auto" w:sz="4" w:space="0"/>
            </w:tcBorders>
            <w:shd w:val="clear" w:color="auto" w:fill="auto"/>
            <w:vAlign w:val="center"/>
          </w:tcPr>
          <w:p w14:paraId="60F3C895">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551" w:type="pct"/>
            <w:tcBorders>
              <w:top w:val="single" w:color="auto" w:sz="4" w:space="0"/>
              <w:left w:val="single" w:color="auto" w:sz="4" w:space="0"/>
              <w:bottom w:val="single" w:color="auto" w:sz="4" w:space="0"/>
              <w:right w:val="single" w:color="auto" w:sz="4" w:space="0"/>
            </w:tcBorders>
            <w:shd w:val="clear" w:color="auto" w:fill="auto"/>
            <w:vAlign w:val="center"/>
          </w:tcPr>
          <w:p w14:paraId="0E79C802">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904" w:type="pct"/>
            <w:tcBorders>
              <w:top w:val="single" w:color="auto" w:sz="4" w:space="0"/>
              <w:left w:val="single" w:color="auto" w:sz="4" w:space="0"/>
              <w:bottom w:val="single" w:color="auto" w:sz="4" w:space="0"/>
              <w:right w:val="single" w:color="auto" w:sz="4" w:space="0"/>
            </w:tcBorders>
            <w:shd w:val="clear" w:color="auto" w:fill="auto"/>
            <w:vAlign w:val="center"/>
          </w:tcPr>
          <w:p w14:paraId="1D28EDE4">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highlight w:val="none"/>
              </w:rPr>
            </w:pPr>
          </w:p>
        </w:tc>
        <w:tc>
          <w:tcPr>
            <w:tcW w:w="685" w:type="pct"/>
            <w:tcBorders>
              <w:top w:val="single" w:color="auto" w:sz="4" w:space="0"/>
              <w:left w:val="single" w:color="auto" w:sz="4" w:space="0"/>
              <w:bottom w:val="single" w:color="auto" w:sz="4" w:space="0"/>
              <w:right w:val="single" w:color="auto" w:sz="4" w:space="0"/>
            </w:tcBorders>
            <w:shd w:val="clear" w:color="auto" w:fill="auto"/>
            <w:vAlign w:val="center"/>
          </w:tcPr>
          <w:p w14:paraId="0F2A8C2E">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highlight w:val="none"/>
              </w:rPr>
            </w:pPr>
          </w:p>
        </w:tc>
        <w:tc>
          <w:tcPr>
            <w:tcW w:w="747" w:type="pct"/>
            <w:tcBorders>
              <w:top w:val="single" w:color="auto" w:sz="4" w:space="0"/>
              <w:left w:val="single" w:color="auto" w:sz="4" w:space="0"/>
              <w:bottom w:val="single" w:color="auto" w:sz="4" w:space="0"/>
              <w:right w:val="single" w:color="auto" w:sz="4" w:space="0"/>
            </w:tcBorders>
            <w:shd w:val="clear" w:color="auto" w:fill="auto"/>
            <w:vAlign w:val="top"/>
          </w:tcPr>
          <w:p w14:paraId="6C39E4E1">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734" w:type="pct"/>
            <w:tcBorders>
              <w:top w:val="single" w:color="auto" w:sz="4" w:space="0"/>
              <w:left w:val="single" w:color="auto" w:sz="4" w:space="0"/>
              <w:bottom w:val="single" w:color="auto" w:sz="4" w:space="0"/>
              <w:right w:val="single" w:color="auto" w:sz="4" w:space="0"/>
            </w:tcBorders>
            <w:shd w:val="clear" w:color="auto" w:fill="auto"/>
            <w:vAlign w:val="center"/>
          </w:tcPr>
          <w:p w14:paraId="7E390988">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14:paraId="64A87AF9">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r>
      <w:tr w14:paraId="13775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815" w:type="pct"/>
            <w:vMerge w:val="continue"/>
            <w:tcBorders>
              <w:top w:val="nil"/>
              <w:left w:val="single" w:color="auto" w:sz="4" w:space="0"/>
              <w:bottom w:val="single" w:color="auto" w:sz="4" w:space="0"/>
              <w:right w:val="single" w:color="auto" w:sz="4" w:space="0"/>
            </w:tcBorders>
            <w:shd w:val="clear" w:color="auto" w:fill="auto"/>
            <w:vAlign w:val="center"/>
          </w:tcPr>
          <w:p w14:paraId="2C7E2582">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551" w:type="pct"/>
            <w:tcBorders>
              <w:top w:val="single" w:color="auto" w:sz="4" w:space="0"/>
              <w:left w:val="single" w:color="auto" w:sz="4" w:space="0"/>
              <w:bottom w:val="single" w:color="auto" w:sz="4" w:space="0"/>
              <w:right w:val="single" w:color="auto" w:sz="4" w:space="0"/>
            </w:tcBorders>
            <w:shd w:val="clear" w:color="auto" w:fill="auto"/>
            <w:vAlign w:val="center"/>
          </w:tcPr>
          <w:p w14:paraId="1C2B65C2">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904" w:type="pct"/>
            <w:tcBorders>
              <w:top w:val="single" w:color="auto" w:sz="4" w:space="0"/>
              <w:left w:val="single" w:color="auto" w:sz="4" w:space="0"/>
              <w:bottom w:val="single" w:color="auto" w:sz="4" w:space="0"/>
              <w:right w:val="single" w:color="auto" w:sz="4" w:space="0"/>
            </w:tcBorders>
            <w:shd w:val="clear" w:color="auto" w:fill="auto"/>
            <w:vAlign w:val="center"/>
          </w:tcPr>
          <w:p w14:paraId="214A287E">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highlight w:val="none"/>
              </w:rPr>
            </w:pPr>
          </w:p>
        </w:tc>
        <w:tc>
          <w:tcPr>
            <w:tcW w:w="685" w:type="pct"/>
            <w:tcBorders>
              <w:top w:val="single" w:color="auto" w:sz="4" w:space="0"/>
              <w:left w:val="single" w:color="auto" w:sz="4" w:space="0"/>
              <w:bottom w:val="single" w:color="auto" w:sz="4" w:space="0"/>
              <w:right w:val="single" w:color="auto" w:sz="4" w:space="0"/>
            </w:tcBorders>
            <w:shd w:val="clear" w:color="auto" w:fill="auto"/>
            <w:vAlign w:val="center"/>
          </w:tcPr>
          <w:p w14:paraId="46ED182F">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highlight w:val="none"/>
              </w:rPr>
            </w:pPr>
          </w:p>
        </w:tc>
        <w:tc>
          <w:tcPr>
            <w:tcW w:w="747" w:type="pct"/>
            <w:tcBorders>
              <w:top w:val="single" w:color="auto" w:sz="4" w:space="0"/>
              <w:left w:val="single" w:color="auto" w:sz="4" w:space="0"/>
              <w:bottom w:val="single" w:color="auto" w:sz="4" w:space="0"/>
              <w:right w:val="single" w:color="auto" w:sz="4" w:space="0"/>
            </w:tcBorders>
            <w:shd w:val="clear" w:color="auto" w:fill="auto"/>
            <w:vAlign w:val="top"/>
          </w:tcPr>
          <w:p w14:paraId="61ADC6AD">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734" w:type="pct"/>
            <w:tcBorders>
              <w:top w:val="single" w:color="auto" w:sz="4" w:space="0"/>
              <w:left w:val="single" w:color="auto" w:sz="4" w:space="0"/>
              <w:bottom w:val="single" w:color="auto" w:sz="4" w:space="0"/>
              <w:right w:val="single" w:color="auto" w:sz="4" w:space="0"/>
            </w:tcBorders>
            <w:shd w:val="clear" w:color="auto" w:fill="auto"/>
            <w:vAlign w:val="center"/>
          </w:tcPr>
          <w:p w14:paraId="099DC3E2">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14:paraId="450FC65A">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r>
      <w:tr w14:paraId="2CD34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815" w:type="pct"/>
            <w:vMerge w:val="continue"/>
            <w:tcBorders>
              <w:top w:val="nil"/>
              <w:left w:val="single" w:color="auto" w:sz="4" w:space="0"/>
              <w:bottom w:val="single" w:color="auto" w:sz="4" w:space="0"/>
              <w:right w:val="single" w:color="auto" w:sz="4" w:space="0"/>
            </w:tcBorders>
            <w:shd w:val="clear" w:color="auto" w:fill="auto"/>
            <w:vAlign w:val="center"/>
          </w:tcPr>
          <w:p w14:paraId="2652A152">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551" w:type="pct"/>
            <w:tcBorders>
              <w:top w:val="single" w:color="auto" w:sz="4" w:space="0"/>
              <w:left w:val="single" w:color="auto" w:sz="4" w:space="0"/>
              <w:bottom w:val="single" w:color="auto" w:sz="4" w:space="0"/>
              <w:right w:val="single" w:color="auto" w:sz="4" w:space="0"/>
            </w:tcBorders>
            <w:shd w:val="clear" w:color="auto" w:fill="auto"/>
            <w:vAlign w:val="center"/>
          </w:tcPr>
          <w:p w14:paraId="39AEAA47">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904" w:type="pct"/>
            <w:tcBorders>
              <w:top w:val="single" w:color="auto" w:sz="4" w:space="0"/>
              <w:left w:val="single" w:color="auto" w:sz="4" w:space="0"/>
              <w:bottom w:val="single" w:color="auto" w:sz="4" w:space="0"/>
              <w:right w:val="single" w:color="auto" w:sz="4" w:space="0"/>
            </w:tcBorders>
            <w:shd w:val="clear" w:color="auto" w:fill="auto"/>
            <w:vAlign w:val="center"/>
          </w:tcPr>
          <w:p w14:paraId="35EE9E63">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highlight w:val="none"/>
              </w:rPr>
            </w:pPr>
          </w:p>
        </w:tc>
        <w:tc>
          <w:tcPr>
            <w:tcW w:w="685" w:type="pct"/>
            <w:tcBorders>
              <w:top w:val="single" w:color="auto" w:sz="4" w:space="0"/>
              <w:left w:val="single" w:color="auto" w:sz="4" w:space="0"/>
              <w:bottom w:val="single" w:color="auto" w:sz="4" w:space="0"/>
              <w:right w:val="single" w:color="auto" w:sz="4" w:space="0"/>
            </w:tcBorders>
            <w:shd w:val="clear" w:color="auto" w:fill="auto"/>
            <w:vAlign w:val="center"/>
          </w:tcPr>
          <w:p w14:paraId="2B1C74FC">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highlight w:val="none"/>
              </w:rPr>
            </w:pPr>
          </w:p>
        </w:tc>
        <w:tc>
          <w:tcPr>
            <w:tcW w:w="747" w:type="pct"/>
            <w:tcBorders>
              <w:top w:val="single" w:color="auto" w:sz="4" w:space="0"/>
              <w:left w:val="single" w:color="auto" w:sz="4" w:space="0"/>
              <w:bottom w:val="single" w:color="auto" w:sz="4" w:space="0"/>
              <w:right w:val="single" w:color="auto" w:sz="4" w:space="0"/>
            </w:tcBorders>
            <w:shd w:val="clear" w:color="auto" w:fill="auto"/>
            <w:vAlign w:val="top"/>
          </w:tcPr>
          <w:p w14:paraId="4FA0E399">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734" w:type="pct"/>
            <w:tcBorders>
              <w:top w:val="single" w:color="auto" w:sz="4" w:space="0"/>
              <w:left w:val="single" w:color="auto" w:sz="4" w:space="0"/>
              <w:bottom w:val="single" w:color="auto" w:sz="4" w:space="0"/>
              <w:right w:val="single" w:color="auto" w:sz="4" w:space="0"/>
            </w:tcBorders>
            <w:shd w:val="clear" w:color="auto" w:fill="auto"/>
            <w:vAlign w:val="center"/>
          </w:tcPr>
          <w:p w14:paraId="6791D163">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14:paraId="7BC138F2">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r>
      <w:tr w14:paraId="37B01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815" w:type="pct"/>
            <w:vMerge w:val="continue"/>
            <w:tcBorders>
              <w:top w:val="nil"/>
              <w:left w:val="single" w:color="auto" w:sz="4" w:space="0"/>
              <w:bottom w:val="single" w:color="auto" w:sz="4" w:space="0"/>
              <w:right w:val="single" w:color="auto" w:sz="4" w:space="0"/>
            </w:tcBorders>
            <w:shd w:val="clear" w:color="auto" w:fill="auto"/>
            <w:vAlign w:val="center"/>
          </w:tcPr>
          <w:p w14:paraId="15D77250">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551" w:type="pct"/>
            <w:tcBorders>
              <w:top w:val="single" w:color="auto" w:sz="4" w:space="0"/>
              <w:left w:val="single" w:color="auto" w:sz="4" w:space="0"/>
              <w:bottom w:val="single" w:color="auto" w:sz="4" w:space="0"/>
              <w:right w:val="single" w:color="auto" w:sz="4" w:space="0"/>
            </w:tcBorders>
            <w:shd w:val="clear" w:color="auto" w:fill="auto"/>
            <w:vAlign w:val="center"/>
          </w:tcPr>
          <w:p w14:paraId="61F794D5">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904" w:type="pct"/>
            <w:tcBorders>
              <w:top w:val="single" w:color="auto" w:sz="4" w:space="0"/>
              <w:left w:val="single" w:color="auto" w:sz="4" w:space="0"/>
              <w:bottom w:val="single" w:color="auto" w:sz="4" w:space="0"/>
              <w:right w:val="single" w:color="auto" w:sz="4" w:space="0"/>
            </w:tcBorders>
            <w:shd w:val="clear" w:color="auto" w:fill="auto"/>
            <w:vAlign w:val="center"/>
          </w:tcPr>
          <w:p w14:paraId="44C17F86">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highlight w:val="none"/>
              </w:rPr>
            </w:pPr>
          </w:p>
        </w:tc>
        <w:tc>
          <w:tcPr>
            <w:tcW w:w="685" w:type="pct"/>
            <w:tcBorders>
              <w:top w:val="single" w:color="auto" w:sz="4" w:space="0"/>
              <w:left w:val="single" w:color="auto" w:sz="4" w:space="0"/>
              <w:bottom w:val="single" w:color="auto" w:sz="4" w:space="0"/>
              <w:right w:val="single" w:color="auto" w:sz="4" w:space="0"/>
            </w:tcBorders>
            <w:shd w:val="clear" w:color="auto" w:fill="auto"/>
            <w:vAlign w:val="center"/>
          </w:tcPr>
          <w:p w14:paraId="244957BB">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highlight w:val="none"/>
              </w:rPr>
            </w:pPr>
          </w:p>
        </w:tc>
        <w:tc>
          <w:tcPr>
            <w:tcW w:w="747" w:type="pct"/>
            <w:tcBorders>
              <w:top w:val="single" w:color="auto" w:sz="4" w:space="0"/>
              <w:left w:val="single" w:color="auto" w:sz="4" w:space="0"/>
              <w:bottom w:val="single" w:color="auto" w:sz="4" w:space="0"/>
              <w:right w:val="single" w:color="auto" w:sz="4" w:space="0"/>
            </w:tcBorders>
            <w:shd w:val="clear" w:color="auto" w:fill="auto"/>
            <w:vAlign w:val="top"/>
          </w:tcPr>
          <w:p w14:paraId="2C6F6B23">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734" w:type="pct"/>
            <w:tcBorders>
              <w:top w:val="single" w:color="auto" w:sz="4" w:space="0"/>
              <w:left w:val="single" w:color="auto" w:sz="4" w:space="0"/>
              <w:bottom w:val="single" w:color="auto" w:sz="4" w:space="0"/>
              <w:right w:val="single" w:color="auto" w:sz="4" w:space="0"/>
            </w:tcBorders>
            <w:shd w:val="clear" w:color="auto" w:fill="auto"/>
            <w:vAlign w:val="center"/>
          </w:tcPr>
          <w:p w14:paraId="617A0840">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14:paraId="6CC48381">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r>
      <w:tr w14:paraId="7C297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815" w:type="pct"/>
            <w:vMerge w:val="restart"/>
            <w:tcBorders>
              <w:top w:val="nil"/>
              <w:left w:val="single" w:color="auto" w:sz="4" w:space="0"/>
              <w:bottom w:val="single" w:color="auto" w:sz="4" w:space="0"/>
              <w:right w:val="single" w:color="auto" w:sz="4" w:space="0"/>
            </w:tcBorders>
            <w:shd w:val="clear" w:color="auto" w:fill="auto"/>
            <w:vAlign w:val="center"/>
          </w:tcPr>
          <w:p w14:paraId="64100974">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r>
              <w:rPr>
                <w:rFonts w:hint="eastAsia" w:ascii="宋体" w:hAnsi="宋体" w:eastAsia="宋体" w:cs="宋体"/>
                <w:color w:val="000000"/>
                <w:kern w:val="2"/>
                <w:sz w:val="21"/>
                <w:szCs w:val="21"/>
                <w:highlight w:val="none"/>
                <w:lang w:val="en-US" w:eastAsia="zh-CN" w:bidi="ar"/>
              </w:rPr>
              <w:t>报告编制人</w:t>
            </w:r>
          </w:p>
        </w:tc>
        <w:tc>
          <w:tcPr>
            <w:tcW w:w="551" w:type="pct"/>
            <w:tcBorders>
              <w:top w:val="single" w:color="auto" w:sz="4" w:space="0"/>
              <w:left w:val="single" w:color="auto" w:sz="4" w:space="0"/>
              <w:bottom w:val="single" w:color="auto" w:sz="4" w:space="0"/>
              <w:right w:val="single" w:color="auto" w:sz="4" w:space="0"/>
            </w:tcBorders>
            <w:shd w:val="clear" w:color="auto" w:fill="auto"/>
            <w:vAlign w:val="center"/>
          </w:tcPr>
          <w:p w14:paraId="1045970D">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904" w:type="pct"/>
            <w:tcBorders>
              <w:top w:val="single" w:color="auto" w:sz="4" w:space="0"/>
              <w:left w:val="single" w:color="auto" w:sz="4" w:space="0"/>
              <w:bottom w:val="single" w:color="auto" w:sz="4" w:space="0"/>
              <w:right w:val="single" w:color="auto" w:sz="4" w:space="0"/>
            </w:tcBorders>
            <w:shd w:val="clear" w:color="auto" w:fill="auto"/>
            <w:vAlign w:val="center"/>
          </w:tcPr>
          <w:p w14:paraId="21597C7A">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highlight w:val="none"/>
              </w:rPr>
            </w:pPr>
          </w:p>
        </w:tc>
        <w:tc>
          <w:tcPr>
            <w:tcW w:w="685" w:type="pct"/>
            <w:tcBorders>
              <w:top w:val="single" w:color="auto" w:sz="4" w:space="0"/>
              <w:left w:val="single" w:color="auto" w:sz="4" w:space="0"/>
              <w:bottom w:val="single" w:color="auto" w:sz="4" w:space="0"/>
              <w:right w:val="single" w:color="auto" w:sz="4" w:space="0"/>
            </w:tcBorders>
            <w:shd w:val="clear" w:color="auto" w:fill="auto"/>
            <w:vAlign w:val="center"/>
          </w:tcPr>
          <w:p w14:paraId="6286E5A1">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highlight w:val="none"/>
              </w:rPr>
            </w:pPr>
          </w:p>
        </w:tc>
        <w:tc>
          <w:tcPr>
            <w:tcW w:w="747" w:type="pct"/>
            <w:tcBorders>
              <w:top w:val="single" w:color="auto" w:sz="4" w:space="0"/>
              <w:left w:val="single" w:color="auto" w:sz="4" w:space="0"/>
              <w:bottom w:val="single" w:color="auto" w:sz="4" w:space="0"/>
              <w:right w:val="single" w:color="auto" w:sz="4" w:space="0"/>
            </w:tcBorders>
            <w:shd w:val="clear" w:color="auto" w:fill="auto"/>
            <w:vAlign w:val="top"/>
          </w:tcPr>
          <w:p w14:paraId="39C36BFE">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734" w:type="pct"/>
            <w:tcBorders>
              <w:top w:val="single" w:color="auto" w:sz="4" w:space="0"/>
              <w:left w:val="single" w:color="auto" w:sz="4" w:space="0"/>
              <w:bottom w:val="single" w:color="auto" w:sz="4" w:space="0"/>
              <w:right w:val="single" w:color="auto" w:sz="4" w:space="0"/>
            </w:tcBorders>
            <w:shd w:val="clear" w:color="auto" w:fill="auto"/>
            <w:vAlign w:val="center"/>
          </w:tcPr>
          <w:p w14:paraId="69C9DFBF">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14:paraId="28EB18ED">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r>
      <w:tr w14:paraId="3BA06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815" w:type="pct"/>
            <w:vMerge w:val="continue"/>
            <w:tcBorders>
              <w:top w:val="nil"/>
              <w:left w:val="single" w:color="auto" w:sz="4" w:space="0"/>
              <w:bottom w:val="single" w:color="auto" w:sz="4" w:space="0"/>
              <w:right w:val="single" w:color="auto" w:sz="4" w:space="0"/>
            </w:tcBorders>
            <w:shd w:val="clear" w:color="auto" w:fill="auto"/>
            <w:vAlign w:val="center"/>
          </w:tcPr>
          <w:p w14:paraId="1027BDBD">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551" w:type="pct"/>
            <w:tcBorders>
              <w:top w:val="single" w:color="auto" w:sz="4" w:space="0"/>
              <w:left w:val="single" w:color="auto" w:sz="4" w:space="0"/>
              <w:bottom w:val="single" w:color="auto" w:sz="4" w:space="0"/>
              <w:right w:val="single" w:color="auto" w:sz="4" w:space="0"/>
            </w:tcBorders>
            <w:shd w:val="clear" w:color="auto" w:fill="auto"/>
            <w:vAlign w:val="center"/>
          </w:tcPr>
          <w:p w14:paraId="2E976F00">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904" w:type="pct"/>
            <w:tcBorders>
              <w:top w:val="single" w:color="auto" w:sz="4" w:space="0"/>
              <w:left w:val="single" w:color="auto" w:sz="4" w:space="0"/>
              <w:bottom w:val="single" w:color="auto" w:sz="4" w:space="0"/>
              <w:right w:val="single" w:color="auto" w:sz="4" w:space="0"/>
            </w:tcBorders>
            <w:shd w:val="clear" w:color="auto" w:fill="auto"/>
            <w:vAlign w:val="center"/>
          </w:tcPr>
          <w:p w14:paraId="19434038">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highlight w:val="none"/>
              </w:rPr>
            </w:pPr>
          </w:p>
        </w:tc>
        <w:tc>
          <w:tcPr>
            <w:tcW w:w="685" w:type="pct"/>
            <w:tcBorders>
              <w:top w:val="single" w:color="auto" w:sz="4" w:space="0"/>
              <w:left w:val="single" w:color="auto" w:sz="4" w:space="0"/>
              <w:bottom w:val="single" w:color="auto" w:sz="4" w:space="0"/>
              <w:right w:val="single" w:color="auto" w:sz="4" w:space="0"/>
            </w:tcBorders>
            <w:shd w:val="clear" w:color="auto" w:fill="auto"/>
            <w:vAlign w:val="center"/>
          </w:tcPr>
          <w:p w14:paraId="3BEEC51F">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highlight w:val="none"/>
              </w:rPr>
            </w:pPr>
          </w:p>
        </w:tc>
        <w:tc>
          <w:tcPr>
            <w:tcW w:w="747" w:type="pct"/>
            <w:tcBorders>
              <w:top w:val="single" w:color="auto" w:sz="4" w:space="0"/>
              <w:left w:val="single" w:color="auto" w:sz="4" w:space="0"/>
              <w:bottom w:val="single" w:color="auto" w:sz="4" w:space="0"/>
              <w:right w:val="single" w:color="auto" w:sz="4" w:space="0"/>
            </w:tcBorders>
            <w:shd w:val="clear" w:color="auto" w:fill="auto"/>
            <w:vAlign w:val="top"/>
          </w:tcPr>
          <w:p w14:paraId="3AF0EEEF">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734" w:type="pct"/>
            <w:tcBorders>
              <w:top w:val="single" w:color="auto" w:sz="4" w:space="0"/>
              <w:left w:val="single" w:color="auto" w:sz="4" w:space="0"/>
              <w:bottom w:val="single" w:color="auto" w:sz="4" w:space="0"/>
              <w:right w:val="single" w:color="auto" w:sz="4" w:space="0"/>
            </w:tcBorders>
            <w:shd w:val="clear" w:color="auto" w:fill="auto"/>
            <w:vAlign w:val="center"/>
          </w:tcPr>
          <w:p w14:paraId="55E826A2">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14:paraId="47610FF9">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r>
      <w:tr w14:paraId="04250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815" w:type="pct"/>
            <w:vMerge w:val="restart"/>
            <w:tcBorders>
              <w:top w:val="nil"/>
              <w:left w:val="single" w:color="auto" w:sz="4" w:space="0"/>
              <w:bottom w:val="single" w:color="auto" w:sz="4" w:space="0"/>
              <w:right w:val="single" w:color="auto" w:sz="4" w:space="0"/>
            </w:tcBorders>
            <w:shd w:val="clear" w:color="auto" w:fill="auto"/>
            <w:vAlign w:val="center"/>
          </w:tcPr>
          <w:p w14:paraId="4899A05E">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r>
              <w:rPr>
                <w:rFonts w:hint="eastAsia" w:ascii="宋体" w:hAnsi="宋体" w:eastAsia="宋体" w:cs="宋体"/>
                <w:color w:val="000000"/>
                <w:kern w:val="2"/>
                <w:sz w:val="21"/>
                <w:szCs w:val="21"/>
                <w:highlight w:val="none"/>
                <w:lang w:val="en-US" w:eastAsia="zh-CN" w:bidi="ar"/>
              </w:rPr>
              <w:t>报告审核人</w:t>
            </w:r>
          </w:p>
        </w:tc>
        <w:tc>
          <w:tcPr>
            <w:tcW w:w="551" w:type="pct"/>
            <w:tcBorders>
              <w:top w:val="single" w:color="auto" w:sz="4" w:space="0"/>
              <w:left w:val="single" w:color="auto" w:sz="4" w:space="0"/>
              <w:bottom w:val="single" w:color="auto" w:sz="4" w:space="0"/>
              <w:right w:val="single" w:color="auto" w:sz="4" w:space="0"/>
            </w:tcBorders>
            <w:shd w:val="clear" w:color="auto" w:fill="auto"/>
            <w:vAlign w:val="center"/>
          </w:tcPr>
          <w:p w14:paraId="12641C2C">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904" w:type="pct"/>
            <w:tcBorders>
              <w:top w:val="single" w:color="auto" w:sz="4" w:space="0"/>
              <w:left w:val="single" w:color="auto" w:sz="4" w:space="0"/>
              <w:bottom w:val="single" w:color="auto" w:sz="4" w:space="0"/>
              <w:right w:val="single" w:color="auto" w:sz="4" w:space="0"/>
            </w:tcBorders>
            <w:shd w:val="clear" w:color="auto" w:fill="auto"/>
            <w:vAlign w:val="center"/>
          </w:tcPr>
          <w:p w14:paraId="52747CB7">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highlight w:val="none"/>
              </w:rPr>
            </w:pPr>
          </w:p>
        </w:tc>
        <w:tc>
          <w:tcPr>
            <w:tcW w:w="685" w:type="pct"/>
            <w:tcBorders>
              <w:top w:val="single" w:color="auto" w:sz="4" w:space="0"/>
              <w:left w:val="single" w:color="auto" w:sz="4" w:space="0"/>
              <w:bottom w:val="single" w:color="auto" w:sz="4" w:space="0"/>
              <w:right w:val="single" w:color="auto" w:sz="4" w:space="0"/>
            </w:tcBorders>
            <w:shd w:val="clear" w:color="auto" w:fill="auto"/>
            <w:vAlign w:val="center"/>
          </w:tcPr>
          <w:p w14:paraId="1A44F02D">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highlight w:val="none"/>
              </w:rPr>
            </w:pPr>
          </w:p>
        </w:tc>
        <w:tc>
          <w:tcPr>
            <w:tcW w:w="747" w:type="pct"/>
            <w:tcBorders>
              <w:top w:val="single" w:color="auto" w:sz="4" w:space="0"/>
              <w:left w:val="single" w:color="auto" w:sz="4" w:space="0"/>
              <w:bottom w:val="single" w:color="auto" w:sz="4" w:space="0"/>
              <w:right w:val="single" w:color="auto" w:sz="4" w:space="0"/>
            </w:tcBorders>
            <w:shd w:val="clear" w:color="auto" w:fill="auto"/>
            <w:vAlign w:val="top"/>
          </w:tcPr>
          <w:p w14:paraId="4D41C15F">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734" w:type="pct"/>
            <w:tcBorders>
              <w:top w:val="single" w:color="auto" w:sz="4" w:space="0"/>
              <w:left w:val="single" w:color="auto" w:sz="4" w:space="0"/>
              <w:bottom w:val="single" w:color="auto" w:sz="4" w:space="0"/>
              <w:right w:val="single" w:color="auto" w:sz="4" w:space="0"/>
            </w:tcBorders>
            <w:shd w:val="clear" w:color="auto" w:fill="auto"/>
            <w:vAlign w:val="center"/>
          </w:tcPr>
          <w:p w14:paraId="0331C6A1">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14:paraId="6211B116">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r>
      <w:tr w14:paraId="3C6F1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815" w:type="pct"/>
            <w:vMerge w:val="continue"/>
            <w:tcBorders>
              <w:top w:val="nil"/>
              <w:left w:val="single" w:color="auto" w:sz="4" w:space="0"/>
              <w:bottom w:val="single" w:color="auto" w:sz="4" w:space="0"/>
              <w:right w:val="single" w:color="auto" w:sz="4" w:space="0"/>
            </w:tcBorders>
            <w:shd w:val="clear" w:color="auto" w:fill="auto"/>
            <w:vAlign w:val="center"/>
          </w:tcPr>
          <w:p w14:paraId="774D7E59">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551" w:type="pct"/>
            <w:tcBorders>
              <w:top w:val="single" w:color="auto" w:sz="4" w:space="0"/>
              <w:left w:val="single" w:color="auto" w:sz="4" w:space="0"/>
              <w:bottom w:val="single" w:color="auto" w:sz="4" w:space="0"/>
              <w:right w:val="single" w:color="auto" w:sz="4" w:space="0"/>
            </w:tcBorders>
            <w:shd w:val="clear" w:color="auto" w:fill="auto"/>
            <w:vAlign w:val="center"/>
          </w:tcPr>
          <w:p w14:paraId="24990474">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904" w:type="pct"/>
            <w:tcBorders>
              <w:top w:val="single" w:color="auto" w:sz="4" w:space="0"/>
              <w:left w:val="single" w:color="auto" w:sz="4" w:space="0"/>
              <w:bottom w:val="single" w:color="auto" w:sz="4" w:space="0"/>
              <w:right w:val="single" w:color="auto" w:sz="4" w:space="0"/>
            </w:tcBorders>
            <w:shd w:val="clear" w:color="auto" w:fill="auto"/>
            <w:vAlign w:val="center"/>
          </w:tcPr>
          <w:p w14:paraId="1BF0645E">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highlight w:val="none"/>
              </w:rPr>
            </w:pPr>
          </w:p>
        </w:tc>
        <w:tc>
          <w:tcPr>
            <w:tcW w:w="685" w:type="pct"/>
            <w:tcBorders>
              <w:top w:val="single" w:color="auto" w:sz="4" w:space="0"/>
              <w:left w:val="single" w:color="auto" w:sz="4" w:space="0"/>
              <w:bottom w:val="single" w:color="auto" w:sz="4" w:space="0"/>
              <w:right w:val="single" w:color="auto" w:sz="4" w:space="0"/>
            </w:tcBorders>
            <w:shd w:val="clear" w:color="auto" w:fill="auto"/>
            <w:vAlign w:val="center"/>
          </w:tcPr>
          <w:p w14:paraId="7BAABF5B">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highlight w:val="none"/>
              </w:rPr>
            </w:pPr>
          </w:p>
        </w:tc>
        <w:tc>
          <w:tcPr>
            <w:tcW w:w="747" w:type="pct"/>
            <w:tcBorders>
              <w:top w:val="single" w:color="auto" w:sz="4" w:space="0"/>
              <w:left w:val="single" w:color="auto" w:sz="4" w:space="0"/>
              <w:bottom w:val="single" w:color="auto" w:sz="4" w:space="0"/>
              <w:right w:val="single" w:color="auto" w:sz="4" w:space="0"/>
            </w:tcBorders>
            <w:shd w:val="clear" w:color="auto" w:fill="auto"/>
            <w:vAlign w:val="top"/>
          </w:tcPr>
          <w:p w14:paraId="613A6090">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734" w:type="pct"/>
            <w:tcBorders>
              <w:top w:val="single" w:color="auto" w:sz="4" w:space="0"/>
              <w:left w:val="single" w:color="auto" w:sz="4" w:space="0"/>
              <w:bottom w:val="single" w:color="auto" w:sz="4" w:space="0"/>
              <w:right w:val="single" w:color="auto" w:sz="4" w:space="0"/>
            </w:tcBorders>
            <w:shd w:val="clear" w:color="auto" w:fill="auto"/>
            <w:vAlign w:val="center"/>
          </w:tcPr>
          <w:p w14:paraId="698A455B">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14:paraId="0D87E78D">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r>
      <w:tr w14:paraId="40775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815" w:type="pct"/>
            <w:tcBorders>
              <w:top w:val="single" w:color="auto" w:sz="4" w:space="0"/>
              <w:left w:val="single" w:color="auto" w:sz="4" w:space="0"/>
              <w:bottom w:val="single" w:color="auto" w:sz="4" w:space="0"/>
              <w:right w:val="single" w:color="auto" w:sz="4" w:space="0"/>
            </w:tcBorders>
            <w:shd w:val="clear" w:color="auto" w:fill="auto"/>
            <w:vAlign w:val="center"/>
          </w:tcPr>
          <w:p w14:paraId="4E3328C1">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过程控制</w:t>
            </w:r>
          </w:p>
          <w:p w14:paraId="2B0801FF">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r>
              <w:rPr>
                <w:rFonts w:hint="eastAsia" w:ascii="宋体" w:hAnsi="宋体" w:eastAsia="宋体" w:cs="宋体"/>
                <w:color w:val="000000"/>
                <w:kern w:val="2"/>
                <w:sz w:val="21"/>
                <w:szCs w:val="21"/>
                <w:highlight w:val="none"/>
                <w:lang w:val="en-US" w:eastAsia="zh-CN" w:bidi="ar"/>
              </w:rPr>
              <w:t>负责人</w:t>
            </w:r>
          </w:p>
        </w:tc>
        <w:tc>
          <w:tcPr>
            <w:tcW w:w="551" w:type="pct"/>
            <w:tcBorders>
              <w:top w:val="single" w:color="auto" w:sz="4" w:space="0"/>
              <w:left w:val="single" w:color="auto" w:sz="4" w:space="0"/>
              <w:bottom w:val="single" w:color="auto" w:sz="4" w:space="0"/>
              <w:right w:val="single" w:color="auto" w:sz="4" w:space="0"/>
            </w:tcBorders>
            <w:shd w:val="clear" w:color="auto" w:fill="auto"/>
            <w:vAlign w:val="center"/>
          </w:tcPr>
          <w:p w14:paraId="3E92CA64">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904" w:type="pct"/>
            <w:tcBorders>
              <w:top w:val="single" w:color="auto" w:sz="4" w:space="0"/>
              <w:left w:val="single" w:color="auto" w:sz="4" w:space="0"/>
              <w:bottom w:val="single" w:color="auto" w:sz="4" w:space="0"/>
              <w:right w:val="single" w:color="auto" w:sz="4" w:space="0"/>
            </w:tcBorders>
            <w:shd w:val="clear" w:color="auto" w:fill="auto"/>
            <w:vAlign w:val="center"/>
          </w:tcPr>
          <w:p w14:paraId="53C7F8ED">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highlight w:val="none"/>
              </w:rPr>
            </w:pPr>
          </w:p>
        </w:tc>
        <w:tc>
          <w:tcPr>
            <w:tcW w:w="685" w:type="pct"/>
            <w:tcBorders>
              <w:top w:val="single" w:color="auto" w:sz="4" w:space="0"/>
              <w:left w:val="single" w:color="auto" w:sz="4" w:space="0"/>
              <w:bottom w:val="single" w:color="auto" w:sz="4" w:space="0"/>
              <w:right w:val="single" w:color="auto" w:sz="4" w:space="0"/>
            </w:tcBorders>
            <w:shd w:val="clear" w:color="auto" w:fill="auto"/>
            <w:vAlign w:val="center"/>
          </w:tcPr>
          <w:p w14:paraId="6523D540">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highlight w:val="none"/>
              </w:rPr>
            </w:pPr>
          </w:p>
        </w:tc>
        <w:tc>
          <w:tcPr>
            <w:tcW w:w="747" w:type="pct"/>
            <w:tcBorders>
              <w:top w:val="single" w:color="auto" w:sz="4" w:space="0"/>
              <w:left w:val="single" w:color="auto" w:sz="4" w:space="0"/>
              <w:bottom w:val="single" w:color="auto" w:sz="4" w:space="0"/>
              <w:right w:val="single" w:color="auto" w:sz="4" w:space="0"/>
            </w:tcBorders>
            <w:shd w:val="clear" w:color="auto" w:fill="auto"/>
            <w:vAlign w:val="top"/>
          </w:tcPr>
          <w:p w14:paraId="48E7471C">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734" w:type="pct"/>
            <w:tcBorders>
              <w:top w:val="single" w:color="auto" w:sz="4" w:space="0"/>
              <w:left w:val="single" w:color="auto" w:sz="4" w:space="0"/>
              <w:bottom w:val="single" w:color="auto" w:sz="4" w:space="0"/>
              <w:right w:val="single" w:color="auto" w:sz="4" w:space="0"/>
            </w:tcBorders>
            <w:shd w:val="clear" w:color="auto" w:fill="auto"/>
            <w:vAlign w:val="center"/>
          </w:tcPr>
          <w:p w14:paraId="70B67441">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14:paraId="6CB2EE31">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r>
      <w:tr w14:paraId="51C76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815" w:type="pct"/>
            <w:tcBorders>
              <w:top w:val="single" w:color="auto" w:sz="4" w:space="0"/>
              <w:left w:val="single" w:color="auto" w:sz="4" w:space="0"/>
              <w:bottom w:val="single" w:color="auto" w:sz="4" w:space="0"/>
              <w:right w:val="single" w:color="auto" w:sz="4" w:space="0"/>
            </w:tcBorders>
            <w:shd w:val="clear" w:color="auto" w:fill="auto"/>
            <w:vAlign w:val="center"/>
          </w:tcPr>
          <w:p w14:paraId="394BF246">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r>
              <w:rPr>
                <w:rFonts w:hint="eastAsia" w:ascii="宋体" w:hAnsi="宋体" w:eastAsia="宋体" w:cs="宋体"/>
                <w:color w:val="000000"/>
                <w:kern w:val="2"/>
                <w:sz w:val="21"/>
                <w:szCs w:val="21"/>
                <w:highlight w:val="none"/>
                <w:lang w:val="en-US" w:eastAsia="zh-CN" w:bidi="ar"/>
              </w:rPr>
              <w:t>技术负责人</w:t>
            </w:r>
          </w:p>
        </w:tc>
        <w:tc>
          <w:tcPr>
            <w:tcW w:w="551" w:type="pct"/>
            <w:tcBorders>
              <w:top w:val="single" w:color="auto" w:sz="4" w:space="0"/>
              <w:left w:val="single" w:color="auto" w:sz="4" w:space="0"/>
              <w:bottom w:val="single" w:color="auto" w:sz="4" w:space="0"/>
              <w:right w:val="single" w:color="auto" w:sz="4" w:space="0"/>
            </w:tcBorders>
            <w:shd w:val="clear" w:color="auto" w:fill="auto"/>
            <w:vAlign w:val="center"/>
          </w:tcPr>
          <w:p w14:paraId="45365DB4">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904" w:type="pct"/>
            <w:tcBorders>
              <w:top w:val="single" w:color="auto" w:sz="4" w:space="0"/>
              <w:left w:val="single" w:color="auto" w:sz="4" w:space="0"/>
              <w:bottom w:val="single" w:color="auto" w:sz="4" w:space="0"/>
              <w:right w:val="single" w:color="auto" w:sz="4" w:space="0"/>
            </w:tcBorders>
            <w:shd w:val="clear" w:color="auto" w:fill="auto"/>
            <w:vAlign w:val="center"/>
          </w:tcPr>
          <w:p w14:paraId="010E49ED">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highlight w:val="none"/>
              </w:rPr>
            </w:pPr>
          </w:p>
        </w:tc>
        <w:tc>
          <w:tcPr>
            <w:tcW w:w="685" w:type="pct"/>
            <w:tcBorders>
              <w:top w:val="single" w:color="auto" w:sz="4" w:space="0"/>
              <w:left w:val="single" w:color="auto" w:sz="4" w:space="0"/>
              <w:bottom w:val="single" w:color="auto" w:sz="4" w:space="0"/>
              <w:right w:val="single" w:color="auto" w:sz="4" w:space="0"/>
            </w:tcBorders>
            <w:shd w:val="clear" w:color="auto" w:fill="auto"/>
            <w:vAlign w:val="center"/>
          </w:tcPr>
          <w:p w14:paraId="7DD6270A">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highlight w:val="none"/>
              </w:rPr>
            </w:pPr>
          </w:p>
        </w:tc>
        <w:tc>
          <w:tcPr>
            <w:tcW w:w="747" w:type="pct"/>
            <w:tcBorders>
              <w:top w:val="single" w:color="auto" w:sz="4" w:space="0"/>
              <w:left w:val="single" w:color="auto" w:sz="4" w:space="0"/>
              <w:bottom w:val="single" w:color="auto" w:sz="4" w:space="0"/>
              <w:right w:val="single" w:color="auto" w:sz="4" w:space="0"/>
            </w:tcBorders>
            <w:shd w:val="clear" w:color="auto" w:fill="auto"/>
            <w:vAlign w:val="top"/>
          </w:tcPr>
          <w:p w14:paraId="26535A61">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734" w:type="pct"/>
            <w:tcBorders>
              <w:top w:val="single" w:color="auto" w:sz="4" w:space="0"/>
              <w:left w:val="single" w:color="auto" w:sz="4" w:space="0"/>
              <w:bottom w:val="single" w:color="auto" w:sz="4" w:space="0"/>
              <w:right w:val="single" w:color="auto" w:sz="4" w:space="0"/>
            </w:tcBorders>
            <w:shd w:val="clear" w:color="auto" w:fill="auto"/>
            <w:vAlign w:val="center"/>
          </w:tcPr>
          <w:p w14:paraId="04AE4212">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14:paraId="321B1D0E">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r>
      <w:tr w14:paraId="7C850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815" w:type="pct"/>
            <w:tcBorders>
              <w:top w:val="single" w:color="auto" w:sz="4" w:space="0"/>
              <w:left w:val="single" w:color="auto" w:sz="4" w:space="0"/>
              <w:bottom w:val="single" w:color="auto" w:sz="4" w:space="0"/>
              <w:right w:val="single" w:color="auto" w:sz="4" w:space="0"/>
            </w:tcBorders>
            <w:shd w:val="clear" w:color="auto" w:fill="auto"/>
            <w:vAlign w:val="center"/>
          </w:tcPr>
          <w:p w14:paraId="430F811A">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技术专家</w:t>
            </w:r>
          </w:p>
        </w:tc>
        <w:tc>
          <w:tcPr>
            <w:tcW w:w="551" w:type="pct"/>
            <w:tcBorders>
              <w:top w:val="single" w:color="auto" w:sz="4" w:space="0"/>
              <w:left w:val="single" w:color="auto" w:sz="4" w:space="0"/>
              <w:bottom w:val="single" w:color="auto" w:sz="4" w:space="0"/>
              <w:right w:val="single" w:color="auto" w:sz="4" w:space="0"/>
            </w:tcBorders>
            <w:shd w:val="clear" w:color="auto" w:fill="auto"/>
            <w:vAlign w:val="center"/>
          </w:tcPr>
          <w:p w14:paraId="781E1969">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904" w:type="pct"/>
            <w:tcBorders>
              <w:top w:val="single" w:color="auto" w:sz="4" w:space="0"/>
              <w:left w:val="single" w:color="auto" w:sz="4" w:space="0"/>
              <w:bottom w:val="single" w:color="auto" w:sz="4" w:space="0"/>
              <w:right w:val="single" w:color="auto" w:sz="4" w:space="0"/>
            </w:tcBorders>
            <w:shd w:val="clear" w:color="auto" w:fill="auto"/>
            <w:vAlign w:val="center"/>
          </w:tcPr>
          <w:p w14:paraId="6A3DF0ED">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kern w:val="2"/>
                <w:sz w:val="32"/>
                <w:szCs w:val="32"/>
                <w:highlight w:val="none"/>
              </w:rPr>
            </w:pPr>
            <w:r>
              <w:rPr>
                <w:rFonts w:hint="default" w:ascii="Times New Roman" w:hAnsi="Times New Roman" w:eastAsia="宋体" w:cs="Times New Roman"/>
                <w:kern w:val="2"/>
                <w:sz w:val="32"/>
                <w:szCs w:val="32"/>
                <w:highlight w:val="none"/>
                <w:lang w:val="en-US" w:eastAsia="zh-CN" w:bidi="ar"/>
              </w:rPr>
              <w:t>-</w:t>
            </w:r>
          </w:p>
        </w:tc>
        <w:tc>
          <w:tcPr>
            <w:tcW w:w="685" w:type="pct"/>
            <w:tcBorders>
              <w:top w:val="single" w:color="auto" w:sz="4" w:space="0"/>
              <w:left w:val="single" w:color="auto" w:sz="4" w:space="0"/>
              <w:bottom w:val="single" w:color="auto" w:sz="4" w:space="0"/>
              <w:right w:val="single" w:color="auto" w:sz="4" w:space="0"/>
            </w:tcBorders>
            <w:shd w:val="clear" w:color="auto" w:fill="auto"/>
            <w:vAlign w:val="center"/>
          </w:tcPr>
          <w:p w14:paraId="181D9DBE">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kern w:val="2"/>
                <w:sz w:val="32"/>
                <w:szCs w:val="32"/>
                <w:highlight w:val="none"/>
              </w:rPr>
            </w:pPr>
            <w:r>
              <w:rPr>
                <w:rFonts w:hint="default" w:ascii="Times New Roman" w:hAnsi="Times New Roman" w:eastAsia="宋体" w:cs="Times New Roman"/>
                <w:kern w:val="2"/>
                <w:sz w:val="32"/>
                <w:szCs w:val="32"/>
                <w:highlight w:val="none"/>
                <w:lang w:val="en-US" w:eastAsia="zh-CN" w:bidi="ar"/>
              </w:rPr>
              <w:t>-</w:t>
            </w:r>
          </w:p>
        </w:tc>
        <w:tc>
          <w:tcPr>
            <w:tcW w:w="747" w:type="pct"/>
            <w:tcBorders>
              <w:top w:val="single" w:color="auto" w:sz="4" w:space="0"/>
              <w:left w:val="single" w:color="auto" w:sz="4" w:space="0"/>
              <w:bottom w:val="single" w:color="auto" w:sz="4" w:space="0"/>
              <w:right w:val="single" w:color="auto" w:sz="4" w:space="0"/>
            </w:tcBorders>
            <w:shd w:val="clear" w:color="auto" w:fill="auto"/>
            <w:vAlign w:val="top"/>
          </w:tcPr>
          <w:p w14:paraId="18B32D5F">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734" w:type="pct"/>
            <w:tcBorders>
              <w:top w:val="single" w:color="auto" w:sz="4" w:space="0"/>
              <w:left w:val="single" w:color="auto" w:sz="4" w:space="0"/>
              <w:bottom w:val="single" w:color="auto" w:sz="4" w:space="0"/>
              <w:right w:val="single" w:color="auto" w:sz="4" w:space="0"/>
            </w:tcBorders>
            <w:shd w:val="clear" w:color="auto" w:fill="auto"/>
            <w:vAlign w:val="center"/>
          </w:tcPr>
          <w:p w14:paraId="4462D29A">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14:paraId="72FFB302">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highlight w:val="none"/>
              </w:rPr>
            </w:pPr>
          </w:p>
        </w:tc>
      </w:tr>
    </w:tbl>
    <w:p w14:paraId="5DE94C93">
      <w:pPr>
        <w:keepNext w:val="0"/>
        <w:keepLines w:val="0"/>
        <w:widowControl w:val="0"/>
        <w:suppressLineNumbers w:val="0"/>
        <w:adjustRightInd w:val="0"/>
        <w:spacing w:before="0" w:beforeAutospacing="0" w:after="0" w:afterAutospacing="0" w:line="480" w:lineRule="auto"/>
        <w:ind w:left="0" w:right="0"/>
        <w:jc w:val="center"/>
        <w:rPr>
          <w:rFonts w:hint="eastAsia" w:ascii="宋体" w:hAnsi="宋体" w:eastAsia="宋体" w:cs="宋体"/>
          <w:kern w:val="0"/>
          <w:sz w:val="21"/>
          <w:szCs w:val="21"/>
          <w:highlight w:val="none"/>
          <w:lang w:val="en-US" w:eastAsia="zh-CN" w:bidi="ar"/>
        </w:rPr>
      </w:pPr>
    </w:p>
    <w:p w14:paraId="574EA11E">
      <w:pPr>
        <w:keepNext w:val="0"/>
        <w:keepLines w:val="0"/>
        <w:widowControl w:val="0"/>
        <w:suppressLineNumbers w:val="0"/>
        <w:adjustRightInd w:val="0"/>
        <w:spacing w:before="0" w:beforeAutospacing="0" w:after="0" w:afterAutospacing="0" w:line="480" w:lineRule="auto"/>
        <w:ind w:left="0" w:right="0"/>
        <w:jc w:val="center"/>
        <w:rPr>
          <w:rFonts w:hint="default" w:ascii="Times New Roman" w:hAnsi="Times New Roman" w:eastAsia="黑体" w:cs="Times New Roman"/>
          <w:color w:val="000000"/>
          <w:kern w:val="2"/>
          <w:sz w:val="21"/>
          <w:szCs w:val="21"/>
          <w:highlight w:val="none"/>
        </w:rPr>
      </w:pPr>
      <w:r>
        <w:rPr>
          <w:rFonts w:hint="eastAsia" w:ascii="宋体" w:hAnsi="宋体" w:eastAsia="宋体" w:cs="宋体"/>
          <w:kern w:val="0"/>
          <w:sz w:val="21"/>
          <w:szCs w:val="21"/>
          <w:highlight w:val="none"/>
          <w:lang w:val="en-US" w:eastAsia="zh-CN" w:bidi="ar"/>
        </w:rPr>
        <w:t>（以上全部小四号宋体）</w:t>
      </w:r>
    </w:p>
    <w:p w14:paraId="2B6F4B26">
      <w:pPr>
        <w:pStyle w:val="52"/>
        <w:numPr>
          <w:ilvl w:val="0"/>
          <w:numId w:val="0"/>
        </w:numPr>
        <w:rPr>
          <w:rFonts w:hint="eastAsia"/>
          <w:color w:val="000000"/>
          <w:highlight w:val="none"/>
          <w:lang w:val="en-US" w:eastAsia="zh-CN"/>
        </w:rPr>
      </w:pPr>
    </w:p>
    <w:p w14:paraId="1134BC86">
      <w:pPr>
        <w:pStyle w:val="27"/>
        <w:rPr>
          <w:rFonts w:hint="eastAsia"/>
          <w:highlight w:val="none"/>
          <w:lang w:val="en-US" w:eastAsia="zh-CN"/>
        </w:rPr>
      </w:pPr>
    </w:p>
    <w:p w14:paraId="234223BE">
      <w:pPr>
        <w:pStyle w:val="52"/>
        <w:numPr>
          <w:ilvl w:val="0"/>
          <w:numId w:val="0"/>
        </w:numPr>
        <w:rPr>
          <w:color w:val="000000"/>
          <w:highlight w:val="none"/>
        </w:rPr>
      </w:pPr>
      <w:r>
        <w:rPr>
          <w:rFonts w:hint="eastAsia" w:ascii="宋体" w:hAnsi="宋体" w:eastAsia="宋体" w:cs="宋体"/>
          <w:b/>
          <w:bCs/>
          <w:color w:val="000000"/>
          <w:kern w:val="21"/>
          <w:sz w:val="21"/>
          <w:highlight w:val="none"/>
          <w:lang w:val="en-US" w:eastAsia="zh-CN" w:bidi="ar-SA"/>
        </w:rPr>
        <w:t>图C.3</w:t>
      </w:r>
      <w:r>
        <w:rPr>
          <w:rFonts w:hint="eastAsia"/>
          <w:color w:val="000000"/>
          <w:highlight w:val="none"/>
        </w:rPr>
        <w:t>　著录项次页</w:t>
      </w:r>
      <w:r>
        <w:rPr>
          <w:rFonts w:hint="eastAsia"/>
          <w:color w:val="000000"/>
          <w:highlight w:val="none"/>
          <w:lang w:val="en-US" w:eastAsia="zh-CN"/>
        </w:rPr>
        <w:t>式</w:t>
      </w:r>
      <w:r>
        <w:rPr>
          <w:rFonts w:hint="eastAsia"/>
          <w:color w:val="000000"/>
          <w:highlight w:val="none"/>
        </w:rPr>
        <w:t>样</w:t>
      </w:r>
    </w:p>
    <w:p w14:paraId="0B331E76">
      <w:pPr>
        <w:pStyle w:val="90"/>
        <w:numPr>
          <w:ilvl w:val="1"/>
          <w:numId w:val="0"/>
        </w:numPr>
        <w:spacing w:before="156" w:beforeLines="50" w:after="156" w:afterLines="50"/>
        <w:rPr>
          <w:rFonts w:hAnsi="黑体" w:cs="黑体"/>
          <w:color w:val="000000"/>
          <w:highlight w:val="none"/>
        </w:rPr>
      </w:pPr>
      <w:bookmarkStart w:id="196" w:name="_Toc10972"/>
      <w:bookmarkStart w:id="197" w:name="_Toc8365"/>
      <w:r>
        <w:rPr>
          <w:rFonts w:hint="eastAsia" w:ascii="宋体" w:hAnsi="宋体" w:eastAsia="宋体" w:cs="宋体"/>
          <w:b/>
          <w:bCs/>
          <w:color w:val="000000"/>
          <w:highlight w:val="none"/>
          <w:lang w:val="en-US" w:eastAsia="zh-CN"/>
        </w:rPr>
        <w:t>C.2　纸张、排版</w:t>
      </w:r>
      <w:bookmarkEnd w:id="196"/>
      <w:bookmarkEnd w:id="197"/>
    </w:p>
    <w:p w14:paraId="717CB7CE">
      <w:pPr>
        <w:adjustRightInd/>
        <w:spacing w:line="360" w:lineRule="exact"/>
        <w:ind w:firstLine="420" w:firstLineChars="200"/>
        <w:rPr>
          <w:rFonts w:ascii="宋体" w:hAnsi="宋体" w:cs="宋体"/>
          <w:color w:val="000000"/>
          <w:highlight w:val="none"/>
        </w:rPr>
      </w:pPr>
      <w:r>
        <w:rPr>
          <w:rFonts w:hint="eastAsia" w:ascii="宋体" w:hAnsi="宋体" w:cs="宋体"/>
          <w:color w:val="000000"/>
          <w:highlight w:val="none"/>
        </w:rPr>
        <w:t>采用A4白色胶版纸，页码位于页面底端，对齐方式为居中。前言、目录、正文排版符合表</w:t>
      </w:r>
      <w:r>
        <w:rPr>
          <w:rFonts w:hint="eastAsia" w:ascii="宋体" w:hAnsi="宋体" w:cs="宋体"/>
          <w:color w:val="000000"/>
          <w:highlight w:val="none"/>
          <w:lang w:val="en-US" w:eastAsia="zh-CN"/>
        </w:rPr>
        <w:t>C</w:t>
      </w:r>
      <w:r>
        <w:rPr>
          <w:rFonts w:hint="eastAsia" w:ascii="宋体" w:hAnsi="宋体" w:cs="宋体"/>
          <w:color w:val="000000"/>
          <w:highlight w:val="none"/>
        </w:rPr>
        <w:t>.1的要求。</w:t>
      </w:r>
    </w:p>
    <w:p w14:paraId="45DCCE58">
      <w:pPr>
        <w:keepNext w:val="0"/>
        <w:keepLines w:val="0"/>
        <w:pageBreakBefore w:val="0"/>
        <w:widowControl/>
        <w:tabs>
          <w:tab w:val="left" w:pos="360"/>
        </w:tabs>
        <w:kinsoku/>
        <w:wordWrap/>
        <w:overflowPunct/>
        <w:topLinePunct w:val="0"/>
        <w:autoSpaceDE/>
        <w:autoSpaceDN/>
        <w:bidi w:val="0"/>
        <w:adjustRightInd/>
        <w:snapToGrid/>
        <w:spacing w:beforeLines="50" w:after="157" w:afterLines="50" w:line="240" w:lineRule="auto"/>
        <w:jc w:val="center"/>
        <w:textAlignment w:val="auto"/>
        <w:rPr>
          <w:rFonts w:ascii="黑体" w:hAnsi="Times New Roman" w:eastAsia="黑体"/>
          <w:color w:val="000000"/>
          <w:kern w:val="0"/>
          <w:szCs w:val="20"/>
          <w:highlight w:val="none"/>
        </w:rPr>
      </w:pPr>
      <w:bookmarkStart w:id="198" w:name="_Toc6471"/>
      <w:bookmarkStart w:id="199" w:name="_Toc28307"/>
      <w:bookmarkStart w:id="200" w:name="_Toc23406"/>
      <w:bookmarkStart w:id="201" w:name="_Toc19761"/>
      <w:bookmarkStart w:id="202" w:name="_Toc26462"/>
      <w:bookmarkStart w:id="203" w:name="_Toc17151"/>
      <w:r>
        <w:rPr>
          <w:rFonts w:hint="eastAsia" w:ascii="黑体" w:hAnsi="Times New Roman" w:eastAsia="黑体"/>
          <w:color w:val="000000"/>
          <w:kern w:val="0"/>
          <w:szCs w:val="20"/>
          <w:highlight w:val="none"/>
        </w:rPr>
        <w:t>表</w:t>
      </w:r>
      <w:r>
        <w:rPr>
          <w:rFonts w:hint="eastAsia" w:ascii="黑体" w:eastAsia="黑体"/>
          <w:color w:val="000000"/>
          <w:kern w:val="0"/>
          <w:szCs w:val="20"/>
          <w:highlight w:val="none"/>
          <w:lang w:val="en-US" w:eastAsia="zh-CN"/>
        </w:rPr>
        <w:t>C</w:t>
      </w:r>
      <w:r>
        <w:rPr>
          <w:rFonts w:hint="eastAsia" w:ascii="黑体" w:hAnsi="Times New Roman" w:eastAsia="黑体"/>
          <w:color w:val="000000"/>
          <w:kern w:val="0"/>
          <w:szCs w:val="20"/>
          <w:highlight w:val="none"/>
        </w:rPr>
        <w:t>.1</w:t>
      </w:r>
      <w:r>
        <w:rPr>
          <w:rFonts w:hint="eastAsia" w:ascii="黑体" w:hAnsi="Times New Roman" w:eastAsia="黑体"/>
          <w:color w:val="000000"/>
          <w:kern w:val="0"/>
          <w:szCs w:val="20"/>
          <w:highlight w:val="none"/>
          <w:lang w:val="en-US" w:eastAsia="zh-CN"/>
        </w:rPr>
        <w:t xml:space="preserve">  </w:t>
      </w:r>
      <w:r>
        <w:rPr>
          <w:rFonts w:hint="eastAsia" w:ascii="黑体" w:hAnsi="Times New Roman" w:eastAsia="黑体"/>
          <w:color w:val="000000"/>
          <w:kern w:val="0"/>
          <w:szCs w:val="20"/>
          <w:highlight w:val="none"/>
        </w:rPr>
        <w:t>排版要求</w:t>
      </w:r>
      <w:bookmarkEnd w:id="198"/>
      <w:bookmarkEnd w:id="199"/>
      <w:bookmarkEnd w:id="200"/>
      <w:bookmarkEnd w:id="201"/>
      <w:bookmarkEnd w:id="202"/>
      <w:bookmarkEnd w:id="203"/>
    </w:p>
    <w:tbl>
      <w:tblPr>
        <w:tblStyle w:val="36"/>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183"/>
        <w:gridCol w:w="1910"/>
        <w:gridCol w:w="6232"/>
      </w:tblGrid>
      <w:tr w14:paraId="5DADEF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634" w:type="pct"/>
            <w:vAlign w:val="center"/>
          </w:tcPr>
          <w:p w14:paraId="028C87D0">
            <w:pPr>
              <w:keepNext w:val="0"/>
              <w:keepLines w:val="0"/>
              <w:suppressLineNumbers w:val="0"/>
              <w:adjustRightInd/>
              <w:spacing w:before="0" w:beforeAutospacing="0" w:after="0" w:afterAutospacing="0" w:line="240" w:lineRule="auto"/>
              <w:ind w:left="0" w:right="0"/>
              <w:jc w:val="center"/>
              <w:rPr>
                <w:rFonts w:hint="default" w:ascii="Times New Roman" w:hAnsi="Times New Roman"/>
                <w:b/>
                <w:color w:val="000000"/>
                <w:sz w:val="18"/>
                <w:szCs w:val="18"/>
                <w:highlight w:val="none"/>
              </w:rPr>
            </w:pPr>
            <w:r>
              <w:rPr>
                <w:rFonts w:hint="eastAsia" w:ascii="Times New Roman" w:hAnsi="Times New Roman"/>
                <w:b/>
                <w:color w:val="000000"/>
                <w:sz w:val="18"/>
                <w:szCs w:val="18"/>
                <w:highlight w:val="none"/>
              </w:rPr>
              <w:t>序号</w:t>
            </w:r>
          </w:p>
        </w:tc>
        <w:tc>
          <w:tcPr>
            <w:tcW w:w="1024" w:type="pct"/>
            <w:vAlign w:val="center"/>
          </w:tcPr>
          <w:p w14:paraId="169D3FD2">
            <w:pPr>
              <w:keepNext w:val="0"/>
              <w:keepLines w:val="0"/>
              <w:suppressLineNumbers w:val="0"/>
              <w:adjustRightInd/>
              <w:spacing w:before="0" w:beforeAutospacing="0" w:after="0" w:afterAutospacing="0" w:line="240" w:lineRule="auto"/>
              <w:ind w:left="0" w:right="0"/>
              <w:jc w:val="center"/>
              <w:rPr>
                <w:rFonts w:hint="default" w:ascii="Times New Roman" w:hAnsi="Times New Roman"/>
                <w:b/>
                <w:color w:val="000000"/>
                <w:sz w:val="18"/>
                <w:szCs w:val="18"/>
                <w:highlight w:val="none"/>
              </w:rPr>
            </w:pPr>
            <w:r>
              <w:rPr>
                <w:rFonts w:hint="eastAsia" w:ascii="Times New Roman" w:hAnsi="Times New Roman"/>
                <w:b/>
                <w:color w:val="000000"/>
                <w:sz w:val="18"/>
                <w:szCs w:val="18"/>
                <w:highlight w:val="none"/>
              </w:rPr>
              <w:t>页别</w:t>
            </w:r>
          </w:p>
        </w:tc>
        <w:tc>
          <w:tcPr>
            <w:tcW w:w="3341" w:type="pct"/>
            <w:noWrap/>
            <w:vAlign w:val="center"/>
          </w:tcPr>
          <w:p w14:paraId="14150BB6">
            <w:pPr>
              <w:keepNext w:val="0"/>
              <w:keepLines w:val="0"/>
              <w:suppressLineNumbers w:val="0"/>
              <w:adjustRightInd/>
              <w:spacing w:before="0" w:beforeAutospacing="0" w:after="0" w:afterAutospacing="0" w:line="240" w:lineRule="auto"/>
              <w:ind w:left="0" w:right="0"/>
              <w:jc w:val="center"/>
              <w:rPr>
                <w:rFonts w:hint="default" w:ascii="Times New Roman" w:hAnsi="Times New Roman"/>
                <w:b/>
                <w:color w:val="000000"/>
                <w:sz w:val="18"/>
                <w:szCs w:val="18"/>
                <w:highlight w:val="none"/>
              </w:rPr>
            </w:pPr>
            <w:r>
              <w:rPr>
                <w:rFonts w:hint="eastAsia" w:ascii="Times New Roman" w:hAnsi="Times New Roman"/>
                <w:b/>
                <w:color w:val="000000"/>
                <w:sz w:val="18"/>
                <w:szCs w:val="18"/>
                <w:highlight w:val="none"/>
              </w:rPr>
              <w:t>排版要求</w:t>
            </w:r>
          </w:p>
        </w:tc>
      </w:tr>
      <w:tr w14:paraId="649FEE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634" w:type="pct"/>
            <w:vAlign w:val="center"/>
          </w:tcPr>
          <w:p w14:paraId="287055CC">
            <w:pPr>
              <w:keepNext w:val="0"/>
              <w:keepLines w:val="0"/>
              <w:suppressLineNumbers w:val="0"/>
              <w:adjustRightInd/>
              <w:spacing w:before="0" w:beforeAutospacing="0" w:after="0" w:afterAutospacing="0" w:line="240" w:lineRule="auto"/>
              <w:ind w:left="0" w:right="0"/>
              <w:jc w:val="center"/>
              <w:rPr>
                <w:rFonts w:hint="default" w:ascii="Times New Roman" w:hAnsi="Times New Roman"/>
                <w:color w:val="000000"/>
                <w:sz w:val="18"/>
                <w:szCs w:val="18"/>
                <w:highlight w:val="none"/>
              </w:rPr>
            </w:pPr>
            <w:r>
              <w:rPr>
                <w:rFonts w:hint="default" w:ascii="Times New Roman" w:hAnsi="Times New Roman"/>
                <w:color w:val="000000"/>
                <w:sz w:val="18"/>
                <w:szCs w:val="18"/>
                <w:highlight w:val="none"/>
              </w:rPr>
              <w:t>1</w:t>
            </w:r>
          </w:p>
        </w:tc>
        <w:tc>
          <w:tcPr>
            <w:tcW w:w="1024" w:type="pct"/>
            <w:vAlign w:val="center"/>
          </w:tcPr>
          <w:p w14:paraId="5302812C">
            <w:pPr>
              <w:keepNext w:val="0"/>
              <w:keepLines w:val="0"/>
              <w:suppressLineNumbers w:val="0"/>
              <w:adjustRightInd/>
              <w:spacing w:before="0" w:beforeAutospacing="0" w:after="0" w:afterAutospacing="0" w:line="240" w:lineRule="auto"/>
              <w:ind w:left="0" w:right="0"/>
              <w:jc w:val="center"/>
              <w:rPr>
                <w:rFonts w:hint="default" w:ascii="Times New Roman" w:hAnsi="Times New Roman"/>
                <w:color w:val="000000"/>
                <w:sz w:val="18"/>
                <w:szCs w:val="18"/>
                <w:highlight w:val="none"/>
              </w:rPr>
            </w:pPr>
            <w:r>
              <w:rPr>
                <w:rFonts w:hint="eastAsia" w:ascii="Times New Roman" w:hAnsi="Times New Roman"/>
                <w:color w:val="000000"/>
                <w:sz w:val="18"/>
                <w:szCs w:val="18"/>
                <w:highlight w:val="none"/>
              </w:rPr>
              <w:t>前言</w:t>
            </w:r>
          </w:p>
        </w:tc>
        <w:tc>
          <w:tcPr>
            <w:tcW w:w="3341" w:type="pct"/>
            <w:noWrap/>
          </w:tcPr>
          <w:p w14:paraId="3EB760BF">
            <w:pPr>
              <w:keepNext w:val="0"/>
              <w:keepLines w:val="0"/>
              <w:suppressLineNumbers w:val="0"/>
              <w:adjustRightInd/>
              <w:spacing w:before="0" w:beforeAutospacing="0" w:after="0" w:afterAutospacing="0" w:line="240" w:lineRule="auto"/>
              <w:ind w:left="0" w:right="0"/>
              <w:rPr>
                <w:rFonts w:hint="eastAsia" w:ascii="Times New Roman" w:hAnsi="Times New Roman" w:eastAsia="宋体"/>
                <w:color w:val="000000"/>
                <w:sz w:val="18"/>
                <w:szCs w:val="18"/>
                <w:highlight w:val="none"/>
                <w:lang w:eastAsia="zh-CN"/>
              </w:rPr>
            </w:pPr>
            <w:r>
              <w:rPr>
                <w:rFonts w:hint="eastAsia" w:ascii="Times New Roman" w:hAnsi="Times New Roman"/>
                <w:color w:val="000000"/>
                <w:sz w:val="18"/>
                <w:szCs w:val="18"/>
                <w:highlight w:val="none"/>
              </w:rPr>
              <w:t>前言标题居中</w:t>
            </w:r>
            <w:r>
              <w:rPr>
                <w:rFonts w:hint="eastAsia" w:ascii="Times New Roman" w:hAnsi="Times New Roman"/>
                <w:color w:val="000000"/>
                <w:sz w:val="18"/>
                <w:szCs w:val="18"/>
                <w:highlight w:val="none"/>
                <w:lang w:eastAsia="zh-CN"/>
              </w:rPr>
              <w:t>；</w:t>
            </w:r>
          </w:p>
          <w:p w14:paraId="50D182B5">
            <w:pPr>
              <w:keepNext w:val="0"/>
              <w:keepLines w:val="0"/>
              <w:suppressLineNumbers w:val="0"/>
              <w:adjustRightInd/>
              <w:spacing w:before="0" w:beforeAutospacing="0" w:after="0" w:afterAutospacing="0" w:line="240" w:lineRule="auto"/>
              <w:ind w:left="0" w:right="0"/>
              <w:rPr>
                <w:rFonts w:hint="eastAsia" w:ascii="Times New Roman" w:hAnsi="Times New Roman" w:eastAsia="宋体"/>
                <w:color w:val="000000"/>
                <w:sz w:val="18"/>
                <w:szCs w:val="18"/>
                <w:highlight w:val="none"/>
                <w:lang w:eastAsia="zh-CN"/>
              </w:rPr>
            </w:pPr>
            <w:r>
              <w:rPr>
                <w:rFonts w:hint="eastAsia" w:ascii="Times New Roman" w:hAnsi="Times New Roman"/>
                <w:color w:val="000000"/>
                <w:sz w:val="18"/>
                <w:szCs w:val="18"/>
                <w:highlight w:val="none"/>
              </w:rPr>
              <w:t>前言每段文字首行缩进</w:t>
            </w:r>
            <w:r>
              <w:rPr>
                <w:rFonts w:hint="default" w:ascii="Times New Roman" w:hAnsi="Times New Roman"/>
                <w:color w:val="000000"/>
                <w:sz w:val="18"/>
                <w:szCs w:val="18"/>
                <w:highlight w:val="none"/>
              </w:rPr>
              <w:t>2</w:t>
            </w:r>
            <w:r>
              <w:rPr>
                <w:rFonts w:hint="eastAsia" w:ascii="Times New Roman" w:hAnsi="Times New Roman"/>
                <w:color w:val="000000"/>
                <w:sz w:val="18"/>
                <w:szCs w:val="18"/>
                <w:highlight w:val="none"/>
              </w:rPr>
              <w:t>字符，回行时顶格</w:t>
            </w:r>
            <w:r>
              <w:rPr>
                <w:rFonts w:hint="eastAsia" w:ascii="Times New Roman" w:hAnsi="Times New Roman"/>
                <w:color w:val="000000"/>
                <w:sz w:val="18"/>
                <w:szCs w:val="18"/>
                <w:highlight w:val="none"/>
                <w:lang w:eastAsia="zh-CN"/>
              </w:rPr>
              <w:t>；</w:t>
            </w:r>
          </w:p>
          <w:p w14:paraId="425D1924">
            <w:pPr>
              <w:keepNext w:val="0"/>
              <w:keepLines w:val="0"/>
              <w:suppressLineNumbers w:val="0"/>
              <w:adjustRightInd/>
              <w:spacing w:before="0" w:beforeAutospacing="0" w:after="0" w:afterAutospacing="0" w:line="240" w:lineRule="auto"/>
              <w:ind w:left="0" w:right="0"/>
              <w:rPr>
                <w:rFonts w:hint="eastAsia" w:ascii="Times New Roman" w:hAnsi="Times New Roman" w:eastAsia="宋体"/>
                <w:b/>
                <w:color w:val="000000"/>
                <w:sz w:val="18"/>
                <w:szCs w:val="18"/>
                <w:highlight w:val="none"/>
                <w:lang w:eastAsia="zh-CN"/>
              </w:rPr>
            </w:pPr>
            <w:r>
              <w:rPr>
                <w:rFonts w:hint="eastAsia" w:ascii="Times New Roman" w:hAnsi="Times New Roman"/>
                <w:color w:val="000000"/>
                <w:sz w:val="18"/>
                <w:szCs w:val="18"/>
                <w:highlight w:val="none"/>
              </w:rPr>
              <w:t>行间距为</w:t>
            </w:r>
            <w:r>
              <w:rPr>
                <w:rFonts w:hint="default" w:ascii="Times New Roman" w:hAnsi="Times New Roman"/>
                <w:color w:val="000000"/>
                <w:sz w:val="18"/>
                <w:szCs w:val="18"/>
                <w:highlight w:val="none"/>
              </w:rPr>
              <w:t>1.5</w:t>
            </w:r>
            <w:r>
              <w:rPr>
                <w:rFonts w:hint="eastAsia" w:ascii="Times New Roman" w:hAnsi="Times New Roman"/>
                <w:color w:val="000000"/>
                <w:sz w:val="18"/>
                <w:szCs w:val="18"/>
                <w:highlight w:val="none"/>
              </w:rPr>
              <w:t>倍行距</w:t>
            </w:r>
          </w:p>
        </w:tc>
      </w:tr>
      <w:tr w14:paraId="489ABD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634" w:type="pct"/>
            <w:vAlign w:val="center"/>
          </w:tcPr>
          <w:p w14:paraId="1DC1928C">
            <w:pPr>
              <w:keepNext w:val="0"/>
              <w:keepLines w:val="0"/>
              <w:suppressLineNumbers w:val="0"/>
              <w:adjustRightInd/>
              <w:spacing w:before="0" w:beforeAutospacing="0" w:after="0" w:afterAutospacing="0" w:line="240" w:lineRule="auto"/>
              <w:ind w:left="0" w:right="0"/>
              <w:jc w:val="center"/>
              <w:rPr>
                <w:rFonts w:hint="default" w:ascii="Times New Roman" w:hAnsi="Times New Roman"/>
                <w:color w:val="000000"/>
                <w:sz w:val="18"/>
                <w:szCs w:val="18"/>
                <w:highlight w:val="none"/>
              </w:rPr>
            </w:pPr>
            <w:r>
              <w:rPr>
                <w:rFonts w:hint="default" w:ascii="Times New Roman" w:hAnsi="Times New Roman"/>
                <w:color w:val="000000"/>
                <w:sz w:val="18"/>
                <w:szCs w:val="18"/>
                <w:highlight w:val="none"/>
              </w:rPr>
              <w:t>2</w:t>
            </w:r>
          </w:p>
        </w:tc>
        <w:tc>
          <w:tcPr>
            <w:tcW w:w="1024" w:type="pct"/>
            <w:vAlign w:val="center"/>
          </w:tcPr>
          <w:p w14:paraId="50354CD0">
            <w:pPr>
              <w:keepNext w:val="0"/>
              <w:keepLines w:val="0"/>
              <w:suppressLineNumbers w:val="0"/>
              <w:adjustRightInd/>
              <w:spacing w:before="0" w:beforeAutospacing="0" w:after="0" w:afterAutospacing="0" w:line="240" w:lineRule="auto"/>
              <w:ind w:left="0" w:right="0"/>
              <w:jc w:val="center"/>
              <w:rPr>
                <w:rFonts w:hint="default" w:ascii="Times New Roman" w:hAnsi="Times New Roman"/>
                <w:color w:val="000000"/>
                <w:sz w:val="18"/>
                <w:szCs w:val="18"/>
                <w:highlight w:val="none"/>
              </w:rPr>
            </w:pPr>
            <w:r>
              <w:rPr>
                <w:rFonts w:hint="eastAsia" w:ascii="Times New Roman" w:hAnsi="Times New Roman"/>
                <w:color w:val="000000"/>
                <w:sz w:val="18"/>
                <w:szCs w:val="18"/>
                <w:highlight w:val="none"/>
              </w:rPr>
              <w:t>目录</w:t>
            </w:r>
          </w:p>
        </w:tc>
        <w:tc>
          <w:tcPr>
            <w:tcW w:w="3341" w:type="pct"/>
            <w:noWrap/>
          </w:tcPr>
          <w:p w14:paraId="5E712D90">
            <w:pPr>
              <w:keepNext w:val="0"/>
              <w:keepLines w:val="0"/>
              <w:suppressLineNumbers w:val="0"/>
              <w:adjustRightInd/>
              <w:spacing w:before="0" w:beforeAutospacing="0" w:after="0" w:afterAutospacing="0" w:line="240" w:lineRule="auto"/>
              <w:ind w:left="0" w:right="0"/>
              <w:rPr>
                <w:rFonts w:hint="eastAsia" w:ascii="Times New Roman" w:hAnsi="Times New Roman" w:eastAsia="宋体"/>
                <w:color w:val="000000"/>
                <w:sz w:val="18"/>
                <w:szCs w:val="18"/>
                <w:highlight w:val="none"/>
                <w:lang w:eastAsia="zh-CN"/>
              </w:rPr>
            </w:pPr>
            <w:r>
              <w:rPr>
                <w:rFonts w:hint="eastAsia" w:ascii="Times New Roman" w:hAnsi="Times New Roman"/>
                <w:color w:val="000000"/>
                <w:sz w:val="18"/>
                <w:szCs w:val="18"/>
                <w:highlight w:val="none"/>
              </w:rPr>
              <w:t>目录标题居中</w:t>
            </w:r>
            <w:r>
              <w:rPr>
                <w:rFonts w:hint="eastAsia" w:ascii="Times New Roman" w:hAnsi="Times New Roman"/>
                <w:color w:val="000000"/>
                <w:sz w:val="18"/>
                <w:szCs w:val="18"/>
                <w:highlight w:val="none"/>
                <w:lang w:eastAsia="zh-CN"/>
              </w:rPr>
              <w:t>；</w:t>
            </w:r>
          </w:p>
          <w:p w14:paraId="0D4152CF">
            <w:pPr>
              <w:keepNext w:val="0"/>
              <w:keepLines w:val="0"/>
              <w:suppressLineNumbers w:val="0"/>
              <w:tabs>
                <w:tab w:val="right" w:leader="dot" w:pos="8494"/>
              </w:tabs>
              <w:adjustRightInd/>
              <w:spacing w:before="0" w:beforeLines="25" w:beforeAutospacing="0" w:after="0" w:afterLines="25" w:afterAutospacing="0" w:line="240" w:lineRule="auto"/>
              <w:ind w:left="0" w:right="0"/>
              <w:jc w:val="left"/>
              <w:rPr>
                <w:rFonts w:hint="default" w:ascii="Times New Roman" w:hAnsi="Times New Roman"/>
                <w:color w:val="000000"/>
                <w:sz w:val="18"/>
                <w:szCs w:val="18"/>
                <w:highlight w:val="none"/>
              </w:rPr>
            </w:pPr>
            <w:r>
              <w:rPr>
                <w:rFonts w:hint="default" w:ascii="Times New Roman" w:hAnsi="Times New Roman"/>
                <w:color w:val="000000"/>
                <w:sz w:val="18"/>
                <w:szCs w:val="18"/>
                <w:highlight w:val="none"/>
              </w:rPr>
              <w:t xml:space="preserve">1 </w:t>
            </w:r>
            <w:r>
              <w:rPr>
                <w:rFonts w:hint="eastAsia" w:ascii="Times New Roman" w:hAnsi="Times New Roman"/>
                <w:color w:val="000000"/>
                <w:sz w:val="18"/>
                <w:szCs w:val="18"/>
                <w:highlight w:val="none"/>
              </w:rPr>
              <w:t>章名（顶格）</w:t>
            </w:r>
            <w:r>
              <w:rPr>
                <w:rFonts w:hint="default" w:ascii="Times New Roman" w:hAnsi="Times New Roman"/>
                <w:color w:val="000000"/>
                <w:sz w:val="18"/>
                <w:szCs w:val="18"/>
                <w:highlight w:val="none"/>
              </w:rPr>
              <w:t>................××</w:t>
            </w:r>
          </w:p>
          <w:p w14:paraId="4EDCE316">
            <w:pPr>
              <w:keepNext w:val="0"/>
              <w:keepLines w:val="0"/>
              <w:suppressLineNumbers w:val="0"/>
              <w:tabs>
                <w:tab w:val="right" w:leader="dot" w:pos="8494"/>
              </w:tabs>
              <w:adjustRightInd/>
              <w:spacing w:before="0" w:beforeLines="25" w:beforeAutospacing="0" w:after="0" w:afterLines="25" w:afterAutospacing="0" w:line="240" w:lineRule="auto"/>
              <w:ind w:left="0" w:right="0" w:firstLine="360" w:firstLineChars="200"/>
              <w:jc w:val="left"/>
              <w:rPr>
                <w:rFonts w:hint="default" w:ascii="Times New Roman" w:hAnsi="Times New Roman"/>
                <w:color w:val="000000"/>
                <w:sz w:val="18"/>
                <w:szCs w:val="18"/>
                <w:highlight w:val="none"/>
              </w:rPr>
            </w:pPr>
            <w:r>
              <w:rPr>
                <w:rFonts w:hint="default" w:ascii="Times New Roman" w:hAnsi="Times New Roman"/>
                <w:color w:val="000000"/>
                <w:sz w:val="18"/>
                <w:szCs w:val="18"/>
                <w:highlight w:val="none"/>
              </w:rPr>
              <w:t xml:space="preserve">1.1 </w:t>
            </w:r>
            <w:r>
              <w:rPr>
                <w:rFonts w:hint="eastAsia" w:ascii="Times New Roman" w:hAnsi="Times New Roman"/>
                <w:color w:val="000000"/>
                <w:sz w:val="18"/>
                <w:szCs w:val="18"/>
                <w:highlight w:val="none"/>
              </w:rPr>
              <w:t>节名（缩进</w:t>
            </w:r>
            <w:r>
              <w:rPr>
                <w:rFonts w:hint="default" w:ascii="Times New Roman" w:hAnsi="Times New Roman"/>
                <w:color w:val="000000"/>
                <w:sz w:val="18"/>
                <w:szCs w:val="18"/>
                <w:highlight w:val="none"/>
              </w:rPr>
              <w:t>2</w:t>
            </w:r>
            <w:r>
              <w:rPr>
                <w:rFonts w:hint="eastAsia" w:ascii="Times New Roman" w:hAnsi="Times New Roman"/>
                <w:color w:val="000000"/>
                <w:sz w:val="18"/>
                <w:szCs w:val="18"/>
                <w:highlight w:val="none"/>
              </w:rPr>
              <w:t>字符）</w:t>
            </w:r>
            <w:r>
              <w:rPr>
                <w:rFonts w:hint="default" w:ascii="Times New Roman" w:hAnsi="Times New Roman"/>
                <w:color w:val="000000"/>
                <w:sz w:val="18"/>
                <w:szCs w:val="18"/>
                <w:highlight w:val="none"/>
              </w:rPr>
              <w:t>................××</w:t>
            </w:r>
          </w:p>
          <w:p w14:paraId="265E02CE">
            <w:pPr>
              <w:keepNext w:val="0"/>
              <w:keepLines w:val="0"/>
              <w:suppressLineNumbers w:val="0"/>
              <w:adjustRightInd/>
              <w:spacing w:before="0" w:beforeAutospacing="0" w:after="0" w:afterAutospacing="0" w:line="240" w:lineRule="auto"/>
              <w:ind w:left="0" w:right="0" w:firstLine="360" w:firstLineChars="200"/>
              <w:rPr>
                <w:rFonts w:hint="default" w:ascii="Times New Roman" w:hAnsi="Times New Roman"/>
                <w:snapToGrid w:val="0"/>
                <w:color w:val="000000"/>
                <w:sz w:val="18"/>
                <w:szCs w:val="18"/>
                <w:highlight w:val="none"/>
              </w:rPr>
            </w:pPr>
            <w:r>
              <w:rPr>
                <w:rFonts w:hint="default" w:ascii="Times New Roman" w:hAnsi="Times New Roman"/>
                <w:snapToGrid w:val="0"/>
                <w:color w:val="000000"/>
                <w:sz w:val="18"/>
                <w:szCs w:val="18"/>
                <w:highlight w:val="none"/>
              </w:rPr>
              <w:t xml:space="preserve">1.2 </w:t>
            </w:r>
            <w:r>
              <w:rPr>
                <w:rFonts w:hint="eastAsia" w:ascii="Times New Roman" w:hAnsi="Times New Roman"/>
                <w:snapToGrid w:val="0"/>
                <w:color w:val="000000"/>
                <w:sz w:val="18"/>
                <w:szCs w:val="18"/>
                <w:highlight w:val="none"/>
              </w:rPr>
              <w:t>节名</w:t>
            </w:r>
            <w:r>
              <w:rPr>
                <w:rFonts w:hint="default" w:ascii="Times New Roman" w:hAnsi="Times New Roman"/>
                <w:color w:val="000000"/>
                <w:sz w:val="18"/>
                <w:szCs w:val="18"/>
                <w:highlight w:val="none"/>
              </w:rPr>
              <w:t>..................</w:t>
            </w:r>
            <w:r>
              <w:rPr>
                <w:rFonts w:hint="default" w:ascii="Times New Roman" w:hAnsi="Times New Roman"/>
                <w:snapToGrid w:val="0"/>
                <w:color w:val="000000"/>
                <w:sz w:val="18"/>
                <w:szCs w:val="18"/>
                <w:highlight w:val="none"/>
              </w:rPr>
              <w:t>××</w:t>
            </w:r>
          </w:p>
          <w:p w14:paraId="3591676A">
            <w:pPr>
              <w:keepNext w:val="0"/>
              <w:keepLines w:val="0"/>
              <w:suppressLineNumbers w:val="0"/>
              <w:adjustRightInd/>
              <w:spacing w:before="0" w:beforeAutospacing="0" w:after="0" w:afterAutospacing="0" w:line="240" w:lineRule="auto"/>
              <w:ind w:left="0" w:right="0"/>
              <w:rPr>
                <w:rFonts w:hint="eastAsia" w:ascii="Times New Roman" w:hAnsi="Times New Roman" w:eastAsia="宋体"/>
                <w:color w:val="000000"/>
                <w:sz w:val="18"/>
                <w:szCs w:val="18"/>
                <w:highlight w:val="none"/>
                <w:lang w:eastAsia="zh-CN"/>
              </w:rPr>
            </w:pPr>
            <w:r>
              <w:rPr>
                <w:rFonts w:hint="eastAsia" w:ascii="Times New Roman" w:hAnsi="Times New Roman"/>
                <w:color w:val="000000"/>
                <w:sz w:val="18"/>
                <w:szCs w:val="18"/>
                <w:highlight w:val="none"/>
              </w:rPr>
              <w:t>行间距为</w:t>
            </w:r>
            <w:r>
              <w:rPr>
                <w:rFonts w:hint="default" w:ascii="Times New Roman" w:hAnsi="Times New Roman"/>
                <w:color w:val="000000"/>
                <w:sz w:val="18"/>
                <w:szCs w:val="18"/>
                <w:highlight w:val="none"/>
              </w:rPr>
              <w:t>1.5</w:t>
            </w:r>
            <w:r>
              <w:rPr>
                <w:rFonts w:hint="eastAsia" w:ascii="Times New Roman" w:hAnsi="Times New Roman"/>
                <w:color w:val="000000"/>
                <w:sz w:val="18"/>
                <w:szCs w:val="18"/>
                <w:highlight w:val="none"/>
              </w:rPr>
              <w:t>倍行距</w:t>
            </w:r>
          </w:p>
        </w:tc>
      </w:tr>
      <w:tr w14:paraId="493B9A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12" w:hRule="atLeast"/>
          <w:jc w:val="center"/>
        </w:trPr>
        <w:tc>
          <w:tcPr>
            <w:tcW w:w="634" w:type="pct"/>
            <w:vAlign w:val="center"/>
          </w:tcPr>
          <w:p w14:paraId="0D344DB4">
            <w:pPr>
              <w:keepNext w:val="0"/>
              <w:keepLines w:val="0"/>
              <w:suppressLineNumbers w:val="0"/>
              <w:adjustRightInd/>
              <w:spacing w:before="0" w:beforeAutospacing="0" w:after="0" w:afterAutospacing="0" w:line="240" w:lineRule="auto"/>
              <w:ind w:left="0" w:right="0"/>
              <w:jc w:val="center"/>
              <w:rPr>
                <w:rFonts w:hint="default" w:ascii="Times New Roman" w:hAnsi="Times New Roman"/>
                <w:color w:val="000000"/>
                <w:sz w:val="18"/>
                <w:szCs w:val="18"/>
                <w:highlight w:val="none"/>
              </w:rPr>
            </w:pPr>
            <w:r>
              <w:rPr>
                <w:rFonts w:hint="default" w:ascii="Times New Roman" w:hAnsi="Times New Roman"/>
                <w:color w:val="000000"/>
                <w:sz w:val="18"/>
                <w:szCs w:val="18"/>
                <w:highlight w:val="none"/>
              </w:rPr>
              <w:t>3</w:t>
            </w:r>
          </w:p>
        </w:tc>
        <w:tc>
          <w:tcPr>
            <w:tcW w:w="1024" w:type="pct"/>
            <w:vAlign w:val="center"/>
          </w:tcPr>
          <w:p w14:paraId="0F7303FC">
            <w:pPr>
              <w:keepNext w:val="0"/>
              <w:keepLines w:val="0"/>
              <w:suppressLineNumbers w:val="0"/>
              <w:adjustRightInd/>
              <w:spacing w:before="0" w:beforeAutospacing="0" w:after="0" w:afterAutospacing="0" w:line="240" w:lineRule="auto"/>
              <w:ind w:left="0" w:right="0"/>
              <w:jc w:val="center"/>
              <w:rPr>
                <w:rFonts w:hint="default" w:ascii="Times New Roman" w:hAnsi="Times New Roman"/>
                <w:color w:val="000000"/>
                <w:sz w:val="18"/>
                <w:szCs w:val="18"/>
                <w:highlight w:val="none"/>
              </w:rPr>
            </w:pPr>
            <w:r>
              <w:rPr>
                <w:rFonts w:hint="eastAsia" w:ascii="Times New Roman" w:hAnsi="Times New Roman"/>
                <w:color w:val="000000"/>
                <w:sz w:val="18"/>
                <w:szCs w:val="18"/>
                <w:highlight w:val="none"/>
              </w:rPr>
              <w:t>正文</w:t>
            </w:r>
          </w:p>
        </w:tc>
        <w:tc>
          <w:tcPr>
            <w:tcW w:w="3341" w:type="pct"/>
            <w:noWrap/>
            <w:vAlign w:val="center"/>
          </w:tcPr>
          <w:p w14:paraId="2A8327E2">
            <w:pPr>
              <w:keepNext w:val="0"/>
              <w:keepLines w:val="0"/>
              <w:suppressLineNumbers w:val="0"/>
              <w:adjustRightInd/>
              <w:spacing w:before="0" w:beforeAutospacing="0" w:after="0" w:afterAutospacing="0" w:line="240" w:lineRule="auto"/>
              <w:ind w:left="-2" w:leftChars="-1" w:right="0"/>
              <w:jc w:val="left"/>
              <w:rPr>
                <w:rFonts w:hint="eastAsia" w:ascii="Times New Roman" w:hAnsi="Times New Roman"/>
                <w:snapToGrid w:val="0"/>
                <w:color w:val="000000"/>
                <w:sz w:val="18"/>
                <w:szCs w:val="18"/>
                <w:highlight w:val="none"/>
                <w:lang w:eastAsia="zh-CN"/>
              </w:rPr>
            </w:pPr>
            <w:r>
              <w:rPr>
                <w:rFonts w:hint="eastAsia" w:ascii="Times New Roman" w:hAnsi="Times New Roman"/>
                <w:snapToGrid w:val="0"/>
                <w:color w:val="000000"/>
                <w:sz w:val="18"/>
                <w:szCs w:val="18"/>
                <w:highlight w:val="none"/>
              </w:rPr>
              <w:t>1 章名标题居中，遇章分页</w:t>
            </w:r>
            <w:r>
              <w:rPr>
                <w:rFonts w:hint="eastAsia" w:ascii="Times New Roman" w:hAnsi="Times New Roman"/>
                <w:snapToGrid w:val="0"/>
                <w:color w:val="000000"/>
                <w:sz w:val="18"/>
                <w:szCs w:val="18"/>
                <w:highlight w:val="none"/>
                <w:lang w:eastAsia="zh-CN"/>
              </w:rPr>
              <w:t>；</w:t>
            </w:r>
          </w:p>
          <w:p w14:paraId="55B0353C">
            <w:pPr>
              <w:keepNext w:val="0"/>
              <w:keepLines w:val="0"/>
              <w:suppressLineNumbers w:val="0"/>
              <w:adjustRightInd/>
              <w:spacing w:before="0" w:beforeAutospacing="0" w:after="0" w:afterAutospacing="0" w:line="240" w:lineRule="auto"/>
              <w:ind w:left="-2" w:leftChars="-1" w:right="0"/>
              <w:jc w:val="left"/>
              <w:rPr>
                <w:rFonts w:hint="eastAsia" w:ascii="Times New Roman" w:hAnsi="Times New Roman"/>
                <w:snapToGrid w:val="0"/>
                <w:color w:val="000000"/>
                <w:sz w:val="18"/>
                <w:szCs w:val="18"/>
                <w:highlight w:val="none"/>
              </w:rPr>
            </w:pPr>
            <w:r>
              <w:rPr>
                <w:rFonts w:hint="eastAsia" w:ascii="Times New Roman" w:hAnsi="Times New Roman"/>
                <w:snapToGrid w:val="0"/>
                <w:color w:val="000000"/>
                <w:sz w:val="18"/>
                <w:szCs w:val="18"/>
                <w:highlight w:val="none"/>
                <w:lang w:val="en-US" w:eastAsia="zh-CN"/>
              </w:rPr>
              <w:t xml:space="preserve">1.1 </w:t>
            </w:r>
            <w:r>
              <w:rPr>
                <w:rFonts w:hint="eastAsia" w:ascii="Times New Roman" w:hAnsi="Times New Roman"/>
                <w:snapToGrid w:val="0"/>
                <w:color w:val="000000"/>
                <w:sz w:val="18"/>
                <w:szCs w:val="18"/>
                <w:highlight w:val="none"/>
              </w:rPr>
              <w:t>节名标题顶格</w:t>
            </w:r>
          </w:p>
          <w:p w14:paraId="5A489525">
            <w:pPr>
              <w:keepNext w:val="0"/>
              <w:keepLines w:val="0"/>
              <w:suppressLineNumbers w:val="0"/>
              <w:adjustRightInd/>
              <w:spacing w:before="0" w:beforeAutospacing="0" w:after="0" w:afterAutospacing="0" w:line="240" w:lineRule="auto"/>
              <w:ind w:left="-2" w:leftChars="-1" w:right="0"/>
              <w:jc w:val="left"/>
              <w:rPr>
                <w:rFonts w:hint="eastAsia" w:ascii="Times New Roman" w:hAnsi="Times New Roman"/>
                <w:snapToGrid w:val="0"/>
                <w:color w:val="000000"/>
                <w:sz w:val="18"/>
                <w:szCs w:val="18"/>
                <w:highlight w:val="none"/>
              </w:rPr>
            </w:pPr>
            <w:r>
              <w:rPr>
                <w:rFonts w:hint="eastAsia" w:ascii="Times New Roman" w:hAnsi="Times New Roman"/>
                <w:snapToGrid w:val="0"/>
                <w:color w:val="000000"/>
                <w:sz w:val="18"/>
                <w:szCs w:val="18"/>
                <w:highlight w:val="none"/>
              </w:rPr>
              <w:t>1.1.1</w:t>
            </w:r>
            <w:r>
              <w:rPr>
                <w:rFonts w:hint="eastAsia" w:ascii="Times New Roman" w:hAnsi="Times New Roman"/>
                <w:snapToGrid w:val="0"/>
                <w:color w:val="000000"/>
                <w:sz w:val="18"/>
                <w:szCs w:val="18"/>
                <w:highlight w:val="none"/>
                <w:lang w:val="en-US" w:eastAsia="zh-CN"/>
              </w:rPr>
              <w:t xml:space="preserve"> </w:t>
            </w:r>
            <w:r>
              <w:rPr>
                <w:rFonts w:hint="eastAsia" w:ascii="Times New Roman" w:hAnsi="Times New Roman"/>
                <w:snapToGrid w:val="0"/>
                <w:color w:val="000000"/>
                <w:sz w:val="18"/>
                <w:szCs w:val="18"/>
                <w:highlight w:val="none"/>
              </w:rPr>
              <w:t>条名标题顶格</w:t>
            </w:r>
          </w:p>
          <w:p w14:paraId="2BABF34D">
            <w:pPr>
              <w:keepNext w:val="0"/>
              <w:keepLines w:val="0"/>
              <w:suppressLineNumbers w:val="0"/>
              <w:adjustRightInd/>
              <w:spacing w:before="0" w:beforeAutospacing="0" w:after="0" w:afterAutospacing="0" w:line="240" w:lineRule="auto"/>
              <w:ind w:left="-2" w:leftChars="-1" w:right="0"/>
              <w:jc w:val="left"/>
              <w:rPr>
                <w:rFonts w:hint="eastAsia" w:ascii="Times New Roman" w:hAnsi="Times New Roman" w:eastAsia="宋体"/>
                <w:snapToGrid w:val="0"/>
                <w:color w:val="000000"/>
                <w:sz w:val="18"/>
                <w:szCs w:val="18"/>
                <w:highlight w:val="none"/>
                <w:lang w:eastAsia="zh-CN"/>
              </w:rPr>
            </w:pPr>
            <w:r>
              <w:rPr>
                <w:rFonts w:hint="eastAsia" w:ascii="Times New Roman" w:hAnsi="Times New Roman"/>
                <w:snapToGrid w:val="0"/>
                <w:color w:val="000000"/>
                <w:sz w:val="18"/>
                <w:szCs w:val="18"/>
                <w:highlight w:val="none"/>
              </w:rPr>
              <w:t>1.1.1.1</w:t>
            </w:r>
            <w:r>
              <w:rPr>
                <w:rFonts w:hint="eastAsia" w:ascii="Times New Roman" w:hAnsi="Times New Roman"/>
                <w:snapToGrid w:val="0"/>
                <w:color w:val="000000"/>
                <w:sz w:val="18"/>
                <w:szCs w:val="18"/>
                <w:highlight w:val="none"/>
                <w:lang w:val="en-US" w:eastAsia="zh-CN"/>
              </w:rPr>
              <w:t xml:space="preserve"> </w:t>
            </w:r>
            <w:r>
              <w:rPr>
                <w:rFonts w:hint="eastAsia" w:ascii="Times New Roman" w:hAnsi="Times New Roman"/>
                <w:snapToGrid w:val="0"/>
                <w:color w:val="000000"/>
                <w:sz w:val="18"/>
                <w:szCs w:val="18"/>
                <w:highlight w:val="none"/>
              </w:rPr>
              <w:t>条名标题顶格</w:t>
            </w:r>
            <w:r>
              <w:rPr>
                <w:rFonts w:hint="eastAsia" w:ascii="Times New Roman" w:hAnsi="Times New Roman"/>
                <w:snapToGrid w:val="0"/>
                <w:color w:val="000000"/>
                <w:sz w:val="18"/>
                <w:szCs w:val="18"/>
                <w:highlight w:val="none"/>
                <w:lang w:eastAsia="zh-CN"/>
              </w:rPr>
              <w:t>；</w:t>
            </w:r>
          </w:p>
          <w:p w14:paraId="69179046">
            <w:pPr>
              <w:keepNext w:val="0"/>
              <w:keepLines w:val="0"/>
              <w:suppressLineNumbers w:val="0"/>
              <w:adjustRightInd/>
              <w:spacing w:before="0" w:beforeAutospacing="0" w:after="0" w:afterAutospacing="0" w:line="240" w:lineRule="auto"/>
              <w:ind w:left="-2" w:leftChars="-1" w:right="0"/>
              <w:jc w:val="left"/>
              <w:rPr>
                <w:rFonts w:hint="eastAsia" w:ascii="Times New Roman" w:hAnsi="Times New Roman"/>
                <w:snapToGrid w:val="0"/>
                <w:color w:val="000000"/>
                <w:sz w:val="18"/>
                <w:szCs w:val="18"/>
                <w:highlight w:val="none"/>
                <w:lang w:eastAsia="zh-CN"/>
              </w:rPr>
            </w:pPr>
            <w:r>
              <w:rPr>
                <w:rFonts w:hint="eastAsia" w:ascii="Times New Roman" w:hAnsi="Times New Roman"/>
                <w:snapToGrid w:val="0"/>
                <w:color w:val="000000"/>
                <w:sz w:val="18"/>
                <w:szCs w:val="18"/>
                <w:highlight w:val="none"/>
              </w:rPr>
              <w:t>每段文字首行缩进2字符，回行时顶格</w:t>
            </w:r>
            <w:r>
              <w:rPr>
                <w:rFonts w:hint="eastAsia" w:ascii="Times New Roman" w:hAnsi="Times New Roman"/>
                <w:snapToGrid w:val="0"/>
                <w:color w:val="000000"/>
                <w:sz w:val="18"/>
                <w:szCs w:val="18"/>
                <w:highlight w:val="none"/>
                <w:lang w:eastAsia="zh-CN"/>
              </w:rPr>
              <w:t>，</w:t>
            </w:r>
            <w:r>
              <w:rPr>
                <w:rFonts w:hint="eastAsia" w:ascii="Times New Roman" w:hAnsi="Times New Roman"/>
                <w:snapToGrid w:val="0"/>
                <w:color w:val="000000"/>
                <w:sz w:val="18"/>
                <w:szCs w:val="18"/>
                <w:highlight w:val="none"/>
              </w:rPr>
              <w:t>行间距为1.5倍行距</w:t>
            </w:r>
            <w:r>
              <w:rPr>
                <w:rFonts w:hint="eastAsia" w:ascii="Times New Roman" w:hAnsi="Times New Roman"/>
                <w:snapToGrid w:val="0"/>
                <w:color w:val="000000"/>
                <w:sz w:val="18"/>
                <w:szCs w:val="18"/>
                <w:highlight w:val="none"/>
                <w:lang w:eastAsia="zh-CN"/>
              </w:rPr>
              <w:t>；</w:t>
            </w:r>
          </w:p>
          <w:p w14:paraId="19919169">
            <w:pPr>
              <w:keepNext w:val="0"/>
              <w:keepLines w:val="0"/>
              <w:suppressLineNumbers w:val="0"/>
              <w:adjustRightInd/>
              <w:spacing w:before="0" w:beforeAutospacing="0" w:after="0" w:afterAutospacing="0" w:line="240" w:lineRule="auto"/>
              <w:ind w:left="-2" w:leftChars="-1" w:right="0"/>
              <w:jc w:val="left"/>
              <w:rPr>
                <w:rFonts w:hint="eastAsia" w:ascii="Times New Roman" w:hAnsi="Times New Roman"/>
                <w:snapToGrid w:val="0"/>
                <w:color w:val="000000"/>
                <w:sz w:val="18"/>
                <w:szCs w:val="18"/>
                <w:highlight w:val="none"/>
              </w:rPr>
            </w:pPr>
            <w:r>
              <w:rPr>
                <w:rFonts w:hint="eastAsia" w:ascii="Times New Roman" w:hAnsi="Times New Roman"/>
                <w:snapToGrid w:val="0"/>
                <w:color w:val="000000"/>
                <w:sz w:val="18"/>
                <w:szCs w:val="18"/>
                <w:highlight w:val="none"/>
              </w:rPr>
              <w:t>表名位于表的上方，居中；</w:t>
            </w:r>
          </w:p>
          <w:p w14:paraId="75946DBC">
            <w:pPr>
              <w:keepNext w:val="0"/>
              <w:keepLines w:val="0"/>
              <w:suppressLineNumbers w:val="0"/>
              <w:adjustRightInd/>
              <w:spacing w:before="0" w:beforeAutospacing="0" w:after="0" w:afterAutospacing="0" w:line="240" w:lineRule="auto"/>
              <w:ind w:left="-2" w:leftChars="-1" w:right="0"/>
              <w:jc w:val="left"/>
              <w:rPr>
                <w:rFonts w:hint="eastAsia" w:ascii="Times New Roman" w:hAnsi="Times New Roman"/>
                <w:color w:val="000000"/>
                <w:sz w:val="18"/>
                <w:szCs w:val="18"/>
                <w:highlight w:val="none"/>
                <w:lang w:eastAsia="zh-CN"/>
              </w:rPr>
            </w:pPr>
            <w:r>
              <w:rPr>
                <w:rFonts w:hint="eastAsia" w:ascii="Times New Roman" w:hAnsi="Times New Roman"/>
                <w:snapToGrid w:val="0"/>
                <w:color w:val="000000"/>
                <w:sz w:val="18"/>
                <w:szCs w:val="18"/>
                <w:highlight w:val="none"/>
              </w:rPr>
              <w:t>图名位于图的下方，居中</w:t>
            </w:r>
          </w:p>
        </w:tc>
      </w:tr>
      <w:tr w14:paraId="79E718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634" w:type="pct"/>
            <w:vAlign w:val="center"/>
          </w:tcPr>
          <w:p w14:paraId="474E1010">
            <w:pPr>
              <w:keepNext w:val="0"/>
              <w:keepLines w:val="0"/>
              <w:suppressLineNumbers w:val="0"/>
              <w:adjustRightInd/>
              <w:spacing w:before="0" w:beforeAutospacing="0" w:after="0" w:afterAutospacing="0" w:line="240" w:lineRule="auto"/>
              <w:ind w:left="0" w:right="0"/>
              <w:jc w:val="center"/>
              <w:rPr>
                <w:rFonts w:hint="default" w:ascii="Times New Roman" w:hAnsi="Times New Roman"/>
                <w:color w:val="000000"/>
                <w:sz w:val="18"/>
                <w:szCs w:val="18"/>
                <w:highlight w:val="none"/>
              </w:rPr>
            </w:pPr>
            <w:r>
              <w:rPr>
                <w:rFonts w:hint="default" w:ascii="Times New Roman" w:hAnsi="Times New Roman"/>
                <w:color w:val="000000"/>
                <w:sz w:val="18"/>
                <w:szCs w:val="18"/>
                <w:highlight w:val="none"/>
              </w:rPr>
              <w:t>4</w:t>
            </w:r>
          </w:p>
        </w:tc>
        <w:tc>
          <w:tcPr>
            <w:tcW w:w="1024" w:type="pct"/>
            <w:vAlign w:val="center"/>
          </w:tcPr>
          <w:p w14:paraId="124E9DCF">
            <w:pPr>
              <w:keepNext w:val="0"/>
              <w:keepLines w:val="0"/>
              <w:suppressLineNumbers w:val="0"/>
              <w:adjustRightInd/>
              <w:spacing w:before="0" w:beforeAutospacing="0" w:after="0" w:afterAutospacing="0" w:line="240" w:lineRule="auto"/>
              <w:ind w:left="0" w:right="0"/>
              <w:jc w:val="center"/>
              <w:rPr>
                <w:rFonts w:hint="default" w:ascii="Times New Roman" w:hAnsi="Times New Roman"/>
                <w:color w:val="000000"/>
                <w:sz w:val="18"/>
                <w:szCs w:val="18"/>
                <w:highlight w:val="none"/>
              </w:rPr>
            </w:pPr>
            <w:r>
              <w:rPr>
                <w:rFonts w:hint="eastAsia" w:ascii="Times New Roman" w:hAnsi="Times New Roman"/>
                <w:color w:val="000000"/>
                <w:sz w:val="18"/>
                <w:szCs w:val="18"/>
                <w:highlight w:val="none"/>
              </w:rPr>
              <w:t>附件</w:t>
            </w:r>
          </w:p>
        </w:tc>
        <w:tc>
          <w:tcPr>
            <w:tcW w:w="3341" w:type="pct"/>
            <w:noWrap/>
            <w:vAlign w:val="center"/>
          </w:tcPr>
          <w:p w14:paraId="174907D9">
            <w:pPr>
              <w:keepNext w:val="0"/>
              <w:keepLines w:val="0"/>
              <w:suppressLineNumbers w:val="0"/>
              <w:adjustRightInd/>
              <w:spacing w:before="0" w:beforeAutospacing="0" w:after="0" w:afterAutospacing="0" w:line="240" w:lineRule="auto"/>
              <w:ind w:left="0" w:right="0"/>
              <w:rPr>
                <w:rFonts w:hint="eastAsia" w:ascii="Times New Roman" w:hAnsi="Times New Roman" w:eastAsia="宋体"/>
                <w:color w:val="000000"/>
                <w:sz w:val="18"/>
                <w:szCs w:val="18"/>
                <w:highlight w:val="none"/>
                <w:lang w:eastAsia="zh-CN"/>
              </w:rPr>
            </w:pPr>
            <w:r>
              <w:rPr>
                <w:rFonts w:hint="eastAsia" w:ascii="Times New Roman" w:hAnsi="Times New Roman"/>
                <w:color w:val="000000"/>
                <w:sz w:val="18"/>
                <w:szCs w:val="18"/>
                <w:highlight w:val="none"/>
              </w:rPr>
              <w:t>附件的标题居中</w:t>
            </w:r>
          </w:p>
        </w:tc>
      </w:tr>
    </w:tbl>
    <w:p w14:paraId="03BBD7C6">
      <w:pPr>
        <w:ind w:firstLine="420" w:firstLineChars="200"/>
        <w:rPr>
          <w:rFonts w:ascii="宋体" w:hAnsi="宋体" w:cs="宋体"/>
          <w:color w:val="000000"/>
          <w:szCs w:val="21"/>
          <w:highlight w:val="none"/>
        </w:rPr>
      </w:pPr>
    </w:p>
    <w:p w14:paraId="5EA9AB35">
      <w:pPr>
        <w:pStyle w:val="90"/>
        <w:numPr>
          <w:ilvl w:val="1"/>
          <w:numId w:val="0"/>
        </w:numPr>
        <w:spacing w:before="156" w:beforeLines="50" w:after="156" w:afterLines="50"/>
        <w:rPr>
          <w:rFonts w:hAnsi="黑体" w:cs="黑体"/>
          <w:color w:val="000000"/>
          <w:highlight w:val="none"/>
        </w:rPr>
      </w:pPr>
      <w:bookmarkStart w:id="204" w:name="_Toc23360"/>
      <w:bookmarkStart w:id="205" w:name="_Toc15572"/>
      <w:bookmarkStart w:id="206" w:name="_Toc21353"/>
      <w:bookmarkStart w:id="207" w:name="_Toc20622"/>
      <w:bookmarkStart w:id="208" w:name="_Toc73694354"/>
      <w:bookmarkStart w:id="209" w:name="_Toc31647"/>
      <w:bookmarkStart w:id="210" w:name="_Toc19987"/>
      <w:bookmarkStart w:id="211" w:name="_Toc21826"/>
      <w:bookmarkStart w:id="212" w:name="_Toc30804"/>
      <w:bookmarkStart w:id="213" w:name="_Toc7806"/>
      <w:bookmarkStart w:id="214" w:name="_Toc31799"/>
      <w:r>
        <w:rPr>
          <w:rFonts w:hint="eastAsia" w:ascii="宋体" w:hAnsi="宋体" w:eastAsia="宋体" w:cs="宋体"/>
          <w:b/>
          <w:bCs/>
          <w:color w:val="000000"/>
          <w:highlight w:val="none"/>
          <w:lang w:val="en-US" w:eastAsia="zh-CN"/>
        </w:rPr>
        <w:t>C.3　</w:t>
      </w:r>
      <w:r>
        <w:rPr>
          <w:rFonts w:hint="eastAsia" w:hAnsi="黑体" w:cs="黑体"/>
          <w:color w:val="000000"/>
          <w:highlight w:val="none"/>
        </w:rPr>
        <w:t>封</w:t>
      </w:r>
      <w:r>
        <w:rPr>
          <w:rFonts w:hint="eastAsia" w:hAnsi="黑体" w:cs="黑体"/>
          <w:color w:val="000000"/>
          <w:highlight w:val="none"/>
          <w:lang w:val="en-US" w:eastAsia="zh-CN"/>
        </w:rPr>
        <w:t>装</w:t>
      </w:r>
      <w:bookmarkEnd w:id="204"/>
      <w:bookmarkEnd w:id="205"/>
      <w:bookmarkEnd w:id="206"/>
      <w:bookmarkEnd w:id="207"/>
      <w:bookmarkEnd w:id="208"/>
      <w:bookmarkEnd w:id="209"/>
      <w:bookmarkEnd w:id="210"/>
      <w:bookmarkEnd w:id="211"/>
      <w:bookmarkEnd w:id="212"/>
      <w:bookmarkEnd w:id="213"/>
      <w:bookmarkEnd w:id="214"/>
    </w:p>
    <w:p w14:paraId="7B5BC609">
      <w:pPr>
        <w:adjustRightInd/>
        <w:spacing w:line="360" w:lineRule="exact"/>
        <w:ind w:firstLine="420" w:firstLineChars="200"/>
        <w:rPr>
          <w:rFonts w:ascii="宋体" w:hAnsi="宋体" w:cs="宋体"/>
          <w:color w:val="000000"/>
          <w:highlight w:val="none"/>
        </w:rPr>
      </w:pPr>
      <w:r>
        <w:rPr>
          <w:rFonts w:hint="eastAsia" w:ascii="宋体" w:hAnsi="宋体" w:cs="宋体"/>
          <w:color w:val="000000"/>
          <w:highlight w:val="none"/>
        </w:rPr>
        <w:t>报告左侧装订，应在报告以下位置加盖公章或签字：</w:t>
      </w:r>
    </w:p>
    <w:p w14:paraId="055296B3">
      <w:pPr>
        <w:pStyle w:val="147"/>
        <w:numPr>
          <w:ilvl w:val="0"/>
          <w:numId w:val="42"/>
        </w:numPr>
        <w:ind w:firstLine="420"/>
        <w:rPr>
          <w:rFonts w:hint="eastAsia"/>
          <w:highlight w:val="none"/>
        </w:rPr>
      </w:pPr>
      <w:r>
        <w:rPr>
          <w:rFonts w:hint="eastAsia"/>
          <w:highlight w:val="none"/>
        </w:rPr>
        <w:t>著录项首页加盖安全评价机构公章；</w:t>
      </w:r>
    </w:p>
    <w:p w14:paraId="38399052">
      <w:pPr>
        <w:pStyle w:val="147"/>
        <w:numPr>
          <w:ilvl w:val="0"/>
          <w:numId w:val="42"/>
        </w:numPr>
        <w:ind w:firstLine="420"/>
        <w:rPr>
          <w:rFonts w:hint="eastAsia"/>
          <w:highlight w:val="none"/>
        </w:rPr>
      </w:pPr>
      <w:r>
        <w:rPr>
          <w:rFonts w:hint="eastAsia"/>
          <w:highlight w:val="none"/>
        </w:rPr>
        <w:t>评价人员名单手签；</w:t>
      </w:r>
    </w:p>
    <w:p w14:paraId="4FE457EA">
      <w:pPr>
        <w:pStyle w:val="147"/>
        <w:numPr>
          <w:ilvl w:val="0"/>
          <w:numId w:val="42"/>
        </w:numPr>
        <w:ind w:firstLine="420"/>
        <w:rPr>
          <w:rFonts w:hint="eastAsia"/>
          <w:highlight w:val="none"/>
        </w:rPr>
      </w:pPr>
      <w:r>
        <w:rPr>
          <w:rFonts w:hint="eastAsia"/>
          <w:highlight w:val="none"/>
        </w:rPr>
        <w:t>结论加盖安全评价机构公章；</w:t>
      </w:r>
    </w:p>
    <w:p w14:paraId="3B16B2BF">
      <w:pPr>
        <w:pStyle w:val="147"/>
        <w:numPr>
          <w:ilvl w:val="0"/>
          <w:numId w:val="42"/>
        </w:numPr>
        <w:ind w:firstLine="420"/>
        <w:rPr>
          <w:rFonts w:ascii="宋体" w:hAnsi="宋体" w:cs="宋体"/>
          <w:color w:val="000000"/>
          <w:szCs w:val="21"/>
          <w:highlight w:val="none"/>
        </w:rPr>
      </w:pPr>
      <w:r>
        <w:rPr>
          <w:rFonts w:hint="eastAsia"/>
          <w:highlight w:val="none"/>
          <w:lang w:val="en-US" w:eastAsia="zh-CN"/>
        </w:rPr>
        <w:t>侧面</w:t>
      </w:r>
      <w:r>
        <w:rPr>
          <w:rFonts w:hint="eastAsia"/>
          <w:highlight w:val="none"/>
        </w:rPr>
        <w:t>加盖安全评价机构</w:t>
      </w:r>
      <w:r>
        <w:rPr>
          <w:rFonts w:hint="eastAsia"/>
          <w:highlight w:val="none"/>
          <w:lang w:val="en-US" w:eastAsia="zh-CN"/>
        </w:rPr>
        <w:t>公</w:t>
      </w:r>
      <w:r>
        <w:rPr>
          <w:rFonts w:hint="eastAsia"/>
          <w:highlight w:val="none"/>
        </w:rPr>
        <w:t>章。</w:t>
      </w:r>
    </w:p>
    <w:p w14:paraId="754CA4EC">
      <w:pPr>
        <w:pStyle w:val="27"/>
        <w:rPr>
          <w:rFonts w:hAnsi="宋体" w:cs="宋体"/>
          <w:color w:val="000000"/>
          <w:highlight w:val="none"/>
        </w:rPr>
        <w:sectPr>
          <w:headerReference r:id="rId23" w:type="default"/>
          <w:footerReference r:id="rId25" w:type="default"/>
          <w:headerReference r:id="rId24" w:type="even"/>
          <w:footerReference r:id="rId26" w:type="even"/>
          <w:pgSz w:w="11906" w:h="16838"/>
          <w:pgMar w:top="1843" w:right="1134" w:bottom="1134" w:left="1417" w:header="1361" w:footer="1111" w:gutter="0"/>
          <w:cols w:space="0" w:num="1"/>
          <w:formProt w:val="0"/>
          <w:docGrid w:type="lines" w:linePitch="312" w:charSpace="0"/>
        </w:sectPr>
      </w:pPr>
    </w:p>
    <w:p w14:paraId="31C8CE51">
      <w:pPr>
        <w:pStyle w:val="92"/>
        <w:numPr>
          <w:ilvl w:val="0"/>
          <w:numId w:val="0"/>
        </w:numPr>
        <w:tabs>
          <w:tab w:val="left" w:pos="840"/>
          <w:tab w:val="clear" w:pos="839"/>
        </w:tabs>
        <w:rPr>
          <w:highlight w:val="none"/>
        </w:rPr>
      </w:pPr>
      <w:bookmarkStart w:id="215" w:name="_Toc15663"/>
      <w:bookmarkEnd w:id="215"/>
      <w:bookmarkStart w:id="216" w:name="_Toc22883"/>
      <w:bookmarkEnd w:id="216"/>
      <w:r>
        <w:rPr>
          <w:sz w:val="21"/>
          <w:highlight w:val="none"/>
        </w:rPr>
        <mc:AlternateContent>
          <mc:Choice Requires="wps">
            <w:drawing>
              <wp:anchor distT="0" distB="0" distL="114300" distR="114300" simplePos="0" relativeHeight="251728896" behindDoc="0" locked="0" layoutInCell="1" allowOverlap="1">
                <wp:simplePos x="0" y="0"/>
                <wp:positionH relativeFrom="column">
                  <wp:posOffset>2135505</wp:posOffset>
                </wp:positionH>
                <wp:positionV relativeFrom="paragraph">
                  <wp:posOffset>734695</wp:posOffset>
                </wp:positionV>
                <wp:extent cx="1483360" cy="0"/>
                <wp:effectExtent l="0" t="6350" r="0" b="6350"/>
                <wp:wrapNone/>
                <wp:docPr id="78" name="直接连接符 78"/>
                <wp:cNvGraphicFramePr/>
                <a:graphic xmlns:a="http://schemas.openxmlformats.org/drawingml/2006/main">
                  <a:graphicData uri="http://schemas.microsoft.com/office/word/2010/wordprocessingShape">
                    <wps:wsp>
                      <wps:cNvCnPr/>
                      <wps:spPr>
                        <a:xfrm>
                          <a:off x="0" y="0"/>
                          <a:ext cx="1483360" cy="0"/>
                        </a:xfrm>
                        <a:prstGeom prst="line">
                          <a:avLst/>
                        </a:prstGeom>
                        <a:ln w="12700" cmpd="sng">
                          <a:solidFill>
                            <a:schemeClr val="tx1"/>
                          </a:solidFill>
                          <a:prstDash val="solid"/>
                          <a:headEnd type="none"/>
                          <a:tailEnd type="non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68.15pt;margin-top:57.85pt;height:0pt;width:116.8pt;z-index:251728896;mso-width-relative:page;mso-height-relative:page;" filled="f" stroked="t" coordsize="21600,21600" o:gfxdata="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mUEkU2QAAAAsBAAAPAAAAAAAAAAEAIAAAACIAAABkcnMvZG93bnJldi54&#10;bWxQSwECFAAUAAAACACHTuJAwAUjdPkBAADkAwAADgAAAAAAAAABACAAAAAoAQAAZHJzL2Uyb0Rv&#10;Yy54bWxQSwUGAAAAAAYABgBZAQAAkwUAAAAA&#10;">
                <v:fill on="f" focussize="0,0"/>
                <v:stroke weight="1pt" color="#000000 [3213]" miterlimit="8" joinstyle="miter"/>
                <v:imagedata o:title=""/>
                <o:lock v:ext="edit" aspectratio="f"/>
              </v:line>
            </w:pict>
          </mc:Fallback>
        </mc:AlternateContent>
      </w:r>
    </w:p>
    <w:p w14:paraId="5095F446">
      <w:pPr>
        <w:pStyle w:val="92"/>
        <w:numPr>
          <w:ilvl w:val="0"/>
          <w:numId w:val="0"/>
        </w:numPr>
        <w:tabs>
          <w:tab w:val="left" w:pos="840"/>
          <w:tab w:val="clear" w:pos="839"/>
        </w:tabs>
        <w:rPr>
          <w:highlight w:val="none"/>
        </w:rPr>
      </w:pPr>
    </w:p>
    <w:p w14:paraId="0A8239CD">
      <w:pPr>
        <w:pStyle w:val="27"/>
        <w:rPr>
          <w:highlight w:val="none"/>
        </w:rPr>
        <w:sectPr>
          <w:pgSz w:w="11906" w:h="16838"/>
          <w:pgMar w:top="1843" w:right="1134" w:bottom="1134" w:left="1417" w:header="1361" w:footer="1111" w:gutter="0"/>
          <w:cols w:space="0" w:num="1"/>
          <w:formProt w:val="0"/>
          <w:docGrid w:type="lines" w:linePitch="312" w:charSpace="0"/>
        </w:sectPr>
      </w:pPr>
    </w:p>
    <w:p w14:paraId="0E022FDC">
      <w:pPr>
        <w:adjustRightInd/>
        <w:spacing w:line="240" w:lineRule="auto"/>
        <w:jc w:val="center"/>
        <w:rPr>
          <w:rFonts w:hint="eastAsia" w:ascii="宋体" w:hAnsi="宋体" w:eastAsia="方正小标宋简体"/>
          <w:sz w:val="44"/>
          <w:szCs w:val="44"/>
          <w:lang w:eastAsia="zh-CN"/>
        </w:rPr>
      </w:pPr>
    </w:p>
    <w:p w14:paraId="0BE48C83">
      <w:pPr>
        <w:adjustRightInd/>
        <w:spacing w:line="240" w:lineRule="auto"/>
        <w:jc w:val="center"/>
        <w:rPr>
          <w:rFonts w:hint="eastAsia" w:ascii="宋体" w:hAnsi="宋体" w:eastAsia="方正小标宋简体"/>
          <w:sz w:val="44"/>
          <w:szCs w:val="44"/>
          <w:lang w:eastAsia="zh-CN"/>
        </w:rPr>
      </w:pPr>
    </w:p>
    <w:p w14:paraId="0A4581E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sz w:val="44"/>
          <w:szCs w:val="44"/>
          <w:lang w:eastAsia="zh-CN"/>
        </w:rPr>
      </w:pPr>
      <w:bookmarkStart w:id="217" w:name="_Toc2085077807_WPSOffice_Level2"/>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海洋石油天然气企业安全现状评价导则</w:t>
      </w:r>
      <w:r>
        <w:rPr>
          <w:rFonts w:hint="eastAsia" w:ascii="方正小标宋简体" w:hAnsi="方正小标宋简体" w:eastAsia="方正小标宋简体" w:cs="方正小标宋简体"/>
          <w:sz w:val="44"/>
          <w:szCs w:val="44"/>
          <w:lang w:eastAsia="zh-CN"/>
        </w:rPr>
        <w:t>》</w:t>
      </w:r>
    </w:p>
    <w:p w14:paraId="4D1DDCA8">
      <w:pPr>
        <w:jc w:val="center"/>
        <w:rPr>
          <w:rFonts w:ascii="宋体" w:hAnsi="宋体" w:eastAsia="仿宋_GB2312"/>
          <w:sz w:val="32"/>
          <w:szCs w:val="32"/>
        </w:rPr>
      </w:pPr>
      <w:r>
        <w:rPr>
          <w:rFonts w:hint="eastAsia" w:ascii="宋体" w:hAnsi="宋体" w:eastAsia="仿宋_GB2312"/>
          <w:sz w:val="32"/>
          <w:szCs w:val="32"/>
        </w:rPr>
        <w:t>（</w:t>
      </w:r>
      <w:r>
        <w:rPr>
          <w:rFonts w:ascii="宋体" w:hAnsi="宋体" w:eastAsia="仿宋_GB2312"/>
          <w:sz w:val="32"/>
          <w:szCs w:val="32"/>
        </w:rPr>
        <w:t xml:space="preserve"> </w:t>
      </w:r>
      <w:r>
        <w:rPr>
          <w:rFonts w:hint="eastAsia" w:ascii="宋体" w:hAnsi="宋体" w:eastAsia="仿宋_GB2312"/>
          <w:sz w:val="32"/>
          <w:szCs w:val="32"/>
        </w:rPr>
        <w:sym w:font="Wingdings 2" w:char="0052"/>
      </w:r>
      <w:r>
        <w:rPr>
          <w:rFonts w:hint="eastAsia" w:ascii="宋体" w:hAnsi="宋体" w:eastAsia="仿宋_GB2312"/>
          <w:sz w:val="32"/>
          <w:szCs w:val="32"/>
        </w:rPr>
        <w:t>征求意见稿</w:t>
      </w:r>
      <w:r>
        <w:rPr>
          <w:rFonts w:ascii="宋体" w:hAnsi="宋体" w:eastAsia="仿宋_GB2312"/>
          <w:sz w:val="32"/>
          <w:szCs w:val="32"/>
        </w:rPr>
        <w:t xml:space="preserve">  </w:t>
      </w:r>
      <w:r>
        <w:rPr>
          <w:rFonts w:hint="eastAsia" w:ascii="宋体" w:hAnsi="宋体" w:eastAsia="仿宋_GB2312"/>
          <w:sz w:val="32"/>
          <w:szCs w:val="32"/>
        </w:rPr>
        <w:sym w:font="Wingdings 2" w:char="00A3"/>
      </w:r>
      <w:r>
        <w:rPr>
          <w:rFonts w:hint="eastAsia" w:ascii="宋体" w:hAnsi="宋体" w:eastAsia="仿宋_GB2312"/>
          <w:sz w:val="32"/>
          <w:szCs w:val="32"/>
        </w:rPr>
        <w:t>送审稿</w:t>
      </w:r>
      <w:r>
        <w:rPr>
          <w:rFonts w:ascii="宋体" w:hAnsi="宋体" w:eastAsia="仿宋_GB2312"/>
          <w:sz w:val="32"/>
          <w:szCs w:val="32"/>
        </w:rPr>
        <w:t xml:space="preserve">  </w:t>
      </w:r>
      <w:r>
        <w:rPr>
          <w:rFonts w:hint="eastAsia" w:ascii="宋体" w:hAnsi="宋体" w:eastAsia="仿宋_GB2312"/>
          <w:sz w:val="32"/>
          <w:szCs w:val="32"/>
        </w:rPr>
        <w:sym w:font="Wingdings 2" w:char="00A3"/>
      </w:r>
      <w:r>
        <w:rPr>
          <w:rFonts w:hint="eastAsia" w:ascii="宋体" w:hAnsi="宋体" w:eastAsia="仿宋_GB2312"/>
          <w:sz w:val="32"/>
          <w:szCs w:val="32"/>
        </w:rPr>
        <w:t>报批稿）</w:t>
      </w:r>
    </w:p>
    <w:p w14:paraId="699A163B">
      <w:pPr>
        <w:jc w:val="center"/>
        <w:rPr>
          <w:rFonts w:hint="eastAsia" w:ascii="宋体" w:hAnsi="宋体" w:eastAsia="方正小标宋简体"/>
          <w:sz w:val="44"/>
          <w:szCs w:val="44"/>
          <w:lang w:eastAsia="zh-CN"/>
        </w:rPr>
      </w:pPr>
    </w:p>
    <w:bookmarkEnd w:id="217"/>
    <w:p w14:paraId="76959DF7">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eastAsia="黑体"/>
          <w:lang w:val="en-US" w:eastAsia="zh-CN"/>
        </w:rPr>
      </w:pPr>
      <w:r>
        <w:rPr>
          <w:rFonts w:hint="eastAsia" w:ascii="宋体" w:hAnsi="宋体" w:eastAsia="黑体" w:cs="黑体"/>
          <w:sz w:val="44"/>
          <w:szCs w:val="44"/>
          <w:lang w:val="en-US" w:eastAsia="zh-CN"/>
        </w:rPr>
        <w:t>编制说明</w:t>
      </w:r>
    </w:p>
    <w:p w14:paraId="546A286C">
      <w:pPr>
        <w:jc w:val="center"/>
        <w:rPr>
          <w:rFonts w:ascii="宋体" w:hAnsi="宋体" w:eastAsia="仿宋_GB2312"/>
          <w:i/>
          <w:iCs/>
          <w:sz w:val="28"/>
          <w:szCs w:val="28"/>
        </w:rPr>
      </w:pPr>
      <w:r>
        <w:rPr>
          <w:rFonts w:ascii="宋体" w:hAnsi="宋体" w:eastAsia="仿宋"/>
          <w:i/>
          <w:iCs/>
          <w:sz w:val="28"/>
          <w:szCs w:val="28"/>
        </w:rPr>
        <w:br w:type="textWrapping"/>
      </w:r>
    </w:p>
    <w:p w14:paraId="40309A7D">
      <w:pPr>
        <w:rPr>
          <w:rFonts w:ascii="宋体" w:hAnsi="宋体" w:eastAsia="仿宋_GB2312"/>
          <w:i/>
          <w:iCs/>
          <w:sz w:val="28"/>
          <w:szCs w:val="28"/>
        </w:rPr>
      </w:pPr>
    </w:p>
    <w:p w14:paraId="6389D32A">
      <w:pPr>
        <w:jc w:val="center"/>
        <w:rPr>
          <w:rFonts w:ascii="宋体" w:hAnsi="宋体" w:eastAsia="仿宋_GB2312"/>
          <w:i/>
          <w:iCs/>
          <w:sz w:val="28"/>
          <w:szCs w:val="28"/>
        </w:rPr>
      </w:pPr>
    </w:p>
    <w:p w14:paraId="62B97D36">
      <w:pPr>
        <w:jc w:val="center"/>
        <w:rPr>
          <w:rFonts w:ascii="宋体" w:hAnsi="宋体" w:eastAsia="仿宋_GB2312"/>
          <w:i/>
          <w:iCs/>
          <w:sz w:val="28"/>
          <w:szCs w:val="28"/>
        </w:rPr>
      </w:pPr>
    </w:p>
    <w:p w14:paraId="56056512">
      <w:pPr>
        <w:jc w:val="center"/>
        <w:rPr>
          <w:rFonts w:ascii="宋体" w:hAnsi="宋体" w:eastAsia="仿宋_GB2312"/>
          <w:i/>
          <w:iCs/>
          <w:sz w:val="28"/>
          <w:szCs w:val="28"/>
        </w:rPr>
      </w:pPr>
    </w:p>
    <w:p w14:paraId="5D825C9A">
      <w:pPr>
        <w:jc w:val="center"/>
        <w:rPr>
          <w:rFonts w:ascii="宋体" w:hAnsi="宋体" w:eastAsia="仿宋_GB2312"/>
          <w:i/>
          <w:iCs/>
          <w:sz w:val="28"/>
          <w:szCs w:val="28"/>
        </w:rPr>
      </w:pPr>
    </w:p>
    <w:p w14:paraId="01C0A694">
      <w:pPr>
        <w:pStyle w:val="2"/>
        <w:rPr>
          <w:rFonts w:ascii="宋体" w:hAnsi="宋体" w:eastAsia="仿宋_GB2312"/>
          <w:i/>
          <w:iCs/>
          <w:sz w:val="28"/>
          <w:szCs w:val="28"/>
        </w:rPr>
      </w:pPr>
    </w:p>
    <w:p w14:paraId="4BB57F3B">
      <w:pPr>
        <w:pStyle w:val="2"/>
        <w:rPr>
          <w:rFonts w:ascii="宋体" w:hAnsi="宋体" w:eastAsia="仿宋_GB2312"/>
          <w:i/>
          <w:iCs/>
          <w:sz w:val="28"/>
          <w:szCs w:val="28"/>
        </w:rPr>
      </w:pPr>
    </w:p>
    <w:p w14:paraId="44E3716B">
      <w:pPr>
        <w:pStyle w:val="2"/>
        <w:rPr>
          <w:rFonts w:ascii="宋体" w:hAnsi="宋体" w:eastAsia="仿宋_GB2312"/>
          <w:i/>
          <w:iCs/>
          <w:sz w:val="28"/>
          <w:szCs w:val="28"/>
        </w:rPr>
      </w:pPr>
    </w:p>
    <w:p w14:paraId="0E0C76D7">
      <w:pPr>
        <w:pStyle w:val="2"/>
        <w:rPr>
          <w:rFonts w:ascii="宋体" w:hAnsi="宋体" w:eastAsia="仿宋_GB2312"/>
          <w:i/>
          <w:iCs/>
          <w:sz w:val="28"/>
          <w:szCs w:val="28"/>
        </w:rPr>
      </w:pPr>
    </w:p>
    <w:p w14:paraId="67A5FD5C">
      <w:pPr>
        <w:jc w:val="center"/>
        <w:rPr>
          <w:rFonts w:hint="eastAsia" w:ascii="仿宋" w:hAnsi="仿宋" w:eastAsia="仿宋" w:cs="仿宋"/>
          <w:i w:val="0"/>
          <w:iCs w:val="0"/>
          <w:sz w:val="32"/>
          <w:szCs w:val="32"/>
          <w:lang w:eastAsia="zh-CN"/>
        </w:rPr>
      </w:pPr>
      <w:r>
        <w:rPr>
          <w:rFonts w:hint="eastAsia" w:ascii="仿宋" w:hAnsi="仿宋" w:eastAsia="仿宋" w:cs="仿宋"/>
          <w:i w:val="0"/>
          <w:iCs w:val="0"/>
          <w:sz w:val="32"/>
          <w:szCs w:val="32"/>
          <w:lang w:eastAsia="zh-CN"/>
        </w:rPr>
        <w:t>标准编制组</w:t>
      </w:r>
    </w:p>
    <w:p w14:paraId="227B6834">
      <w:pPr>
        <w:jc w:val="center"/>
        <w:rPr>
          <w:rFonts w:hint="default" w:ascii="宋体" w:hAnsi="宋体" w:eastAsia="宋体" w:cs="宋体"/>
          <w:b/>
          <w:i w:val="0"/>
          <w:iCs w:val="0"/>
          <w:sz w:val="32"/>
          <w:szCs w:val="32"/>
          <w:highlight w:val="none"/>
          <w:lang w:val="en-US"/>
        </w:rPr>
      </w:pPr>
      <w:r>
        <w:rPr>
          <w:rFonts w:hint="eastAsia" w:ascii="宋体" w:hAnsi="宋体" w:eastAsia="宋体" w:cs="宋体"/>
          <w:i w:val="0"/>
          <w:iCs w:val="0"/>
          <w:sz w:val="32"/>
          <w:szCs w:val="32"/>
          <w:lang w:val="en-US" w:eastAsia="zh-CN"/>
        </w:rPr>
        <w:t>202</w:t>
      </w:r>
      <w:r>
        <w:rPr>
          <w:rFonts w:hint="eastAsia" w:ascii="宋体" w:hAnsi="宋体" w:cs="宋体"/>
          <w:i w:val="0"/>
          <w:iCs w:val="0"/>
          <w:sz w:val="32"/>
          <w:szCs w:val="32"/>
          <w:lang w:val="en-US" w:eastAsia="zh-CN"/>
        </w:rPr>
        <w:t>6</w:t>
      </w:r>
      <w:r>
        <w:rPr>
          <w:rFonts w:hint="eastAsia" w:ascii="宋体" w:hAnsi="宋体" w:eastAsia="宋体" w:cs="宋体"/>
          <w:i w:val="0"/>
          <w:iCs w:val="0"/>
          <w:sz w:val="32"/>
          <w:szCs w:val="32"/>
          <w:highlight w:val="none"/>
          <w:lang w:val="en-US" w:eastAsia="zh-CN"/>
        </w:rPr>
        <w:t>年</w:t>
      </w:r>
      <w:r>
        <w:rPr>
          <w:rFonts w:hint="eastAsia" w:ascii="宋体" w:hAnsi="宋体" w:cs="宋体"/>
          <w:i w:val="0"/>
          <w:iCs w:val="0"/>
          <w:sz w:val="32"/>
          <w:szCs w:val="32"/>
          <w:highlight w:val="none"/>
          <w:lang w:val="en-US" w:eastAsia="zh-CN"/>
        </w:rPr>
        <w:t>9</w:t>
      </w:r>
      <w:r>
        <w:rPr>
          <w:rFonts w:hint="eastAsia" w:ascii="宋体" w:hAnsi="宋体" w:eastAsia="宋体" w:cs="宋体"/>
          <w:i w:val="0"/>
          <w:iCs w:val="0"/>
          <w:sz w:val="32"/>
          <w:szCs w:val="32"/>
          <w:highlight w:val="none"/>
          <w:lang w:val="en-US" w:eastAsia="zh-CN"/>
        </w:rPr>
        <w:t>月</w:t>
      </w:r>
      <w:r>
        <w:rPr>
          <w:rFonts w:hint="eastAsia" w:ascii="宋体" w:hAnsi="宋体" w:cs="宋体"/>
          <w:i w:val="0"/>
          <w:iCs w:val="0"/>
          <w:sz w:val="32"/>
          <w:szCs w:val="32"/>
          <w:highlight w:val="none"/>
          <w:lang w:val="en-US" w:eastAsia="zh-CN"/>
        </w:rPr>
        <w:t>28日</w:t>
      </w:r>
    </w:p>
    <w:p w14:paraId="7677D8BC">
      <w:pPr>
        <w:ind w:firstLine="880" w:firstLineChars="200"/>
        <w:jc w:val="center"/>
        <w:rPr>
          <w:rFonts w:hint="eastAsia" w:ascii="宋体" w:hAnsi="宋体" w:eastAsia="方正小标宋_GBK" w:cs="方正小标宋_GBK"/>
          <w:sz w:val="44"/>
          <w:szCs w:val="44"/>
          <w:lang w:eastAsia="zh-CN"/>
        </w:rPr>
        <w:sectPr>
          <w:headerReference r:id="rId27" w:type="even"/>
          <w:footerReference r:id="rId28" w:type="even"/>
          <w:pgSz w:w="11906" w:h="16838"/>
          <w:pgMar w:top="1701" w:right="1474" w:bottom="1474" w:left="1587" w:header="851" w:footer="992" w:gutter="0"/>
          <w:pgNumType w:fmt="decimal"/>
          <w:cols w:space="720" w:num="1"/>
          <w:rtlGutter w:val="0"/>
          <w:docGrid w:type="lines" w:linePitch="312" w:charSpace="0"/>
        </w:sectPr>
      </w:pPr>
    </w:p>
    <w:p w14:paraId="13415F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方正小标宋_GBK" w:cs="方正小标宋_GBK"/>
          <w:sz w:val="44"/>
          <w:szCs w:val="44"/>
          <w:lang w:eastAsia="zh-CN"/>
        </w:rPr>
      </w:pPr>
      <w:r>
        <w:rPr>
          <w:rFonts w:hint="eastAsia" w:ascii="宋体" w:hAnsi="宋体" w:eastAsia="方正小标宋_GBK" w:cs="方正小标宋_GBK"/>
          <w:sz w:val="44"/>
          <w:szCs w:val="44"/>
          <w:lang w:eastAsia="zh-CN"/>
        </w:rPr>
        <w:t>说</w:t>
      </w:r>
      <w:r>
        <w:rPr>
          <w:rFonts w:hint="eastAsia" w:ascii="宋体" w:hAnsi="宋体" w:eastAsia="方正小标宋_GBK" w:cs="方正小标宋_GBK"/>
          <w:sz w:val="44"/>
          <w:szCs w:val="44"/>
          <w:lang w:val="en-US" w:eastAsia="zh-CN"/>
        </w:rPr>
        <w:t xml:space="preserve"> </w:t>
      </w:r>
      <w:r>
        <w:rPr>
          <w:rFonts w:hint="eastAsia" w:ascii="宋体" w:hAnsi="宋体" w:eastAsia="方正小标宋_GBK" w:cs="方正小标宋_GBK"/>
          <w:sz w:val="44"/>
          <w:szCs w:val="44"/>
          <w:lang w:eastAsia="zh-CN"/>
        </w:rPr>
        <w:t>明</w:t>
      </w:r>
    </w:p>
    <w:p w14:paraId="699A3C0C">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仿宋_GB2312"/>
          <w:sz w:val="24"/>
          <w:szCs w:val="21"/>
        </w:rPr>
      </w:pPr>
      <w:r>
        <w:rPr>
          <w:rFonts w:hint="eastAsia" w:ascii="宋体" w:hAnsi="宋体" w:eastAsia="仿宋_GB2312"/>
          <w:sz w:val="24"/>
          <w:szCs w:val="21"/>
          <w:lang w:val="en-US" w:eastAsia="zh-CN"/>
        </w:rPr>
        <w:t xml:space="preserve">    </w:t>
      </w:r>
      <w:r>
        <w:rPr>
          <w:rFonts w:hint="eastAsia" w:ascii="宋体" w:hAnsi="宋体" w:eastAsia="仿宋_GB2312"/>
          <w:sz w:val="24"/>
          <w:szCs w:val="21"/>
        </w:rPr>
        <w:t>1．标准编制说明的封面</w:t>
      </w:r>
    </w:p>
    <w:p w14:paraId="5BE6FC62">
      <w:pPr>
        <w:keepNext w:val="0"/>
        <w:keepLines w:val="0"/>
        <w:pageBreakBefore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仿宋_GB2312"/>
          <w:sz w:val="24"/>
          <w:szCs w:val="21"/>
        </w:rPr>
      </w:pPr>
      <w:r>
        <w:rPr>
          <w:rFonts w:hint="eastAsia" w:ascii="宋体" w:hAnsi="宋体" w:eastAsia="仿宋_GB2312"/>
          <w:sz w:val="24"/>
          <w:szCs w:val="21"/>
        </w:rPr>
        <w:t>（1）</w:t>
      </w:r>
      <w:r>
        <w:rPr>
          <w:rFonts w:hint="eastAsia" w:ascii="宋体" w:hAnsi="宋体" w:eastAsia="仿宋_GB2312"/>
          <w:sz w:val="24"/>
          <w:szCs w:val="21"/>
          <w:lang w:val="en-US" w:eastAsia="zh-CN"/>
        </w:rPr>
        <w:t>标准名称。</w:t>
      </w:r>
      <w:r>
        <w:rPr>
          <w:rFonts w:hint="eastAsia" w:ascii="宋体" w:hAnsi="宋体" w:eastAsia="仿宋_GB2312"/>
          <w:sz w:val="24"/>
          <w:szCs w:val="21"/>
        </w:rPr>
        <w:t>应在封面靠上居中位置</w:t>
      </w:r>
      <w:r>
        <w:rPr>
          <w:rFonts w:hint="eastAsia" w:ascii="宋体" w:hAnsi="宋体" w:eastAsia="仿宋_GB2312"/>
          <w:sz w:val="24"/>
          <w:szCs w:val="21"/>
          <w:lang w:eastAsia="zh-CN"/>
        </w:rPr>
        <w:t>，与标准稿名称保持一致</w:t>
      </w:r>
      <w:r>
        <w:rPr>
          <w:rFonts w:hint="eastAsia" w:ascii="宋体" w:hAnsi="宋体" w:eastAsia="仿宋_GB2312"/>
          <w:sz w:val="24"/>
          <w:szCs w:val="21"/>
        </w:rPr>
        <w:t>。字体字号为</w:t>
      </w:r>
      <w:r>
        <w:rPr>
          <w:rFonts w:hint="eastAsia" w:ascii="宋体" w:hAnsi="宋体" w:eastAsia="仿宋_GB2312"/>
          <w:sz w:val="24"/>
          <w:szCs w:val="21"/>
          <w:lang w:eastAsia="zh-CN"/>
        </w:rPr>
        <w:t>方正小标宋</w:t>
      </w:r>
      <w:r>
        <w:rPr>
          <w:rFonts w:hint="eastAsia" w:ascii="宋体" w:hAnsi="宋体" w:eastAsia="仿宋_GB2312"/>
          <w:sz w:val="24"/>
          <w:szCs w:val="21"/>
        </w:rPr>
        <w:t>二号。</w:t>
      </w:r>
    </w:p>
    <w:p w14:paraId="474695F4">
      <w:pPr>
        <w:keepNext w:val="0"/>
        <w:keepLines w:val="0"/>
        <w:pageBreakBefore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仿宋_GB2312"/>
          <w:sz w:val="24"/>
          <w:szCs w:val="21"/>
        </w:rPr>
      </w:pPr>
      <w:r>
        <w:rPr>
          <w:rFonts w:hint="eastAsia" w:ascii="宋体" w:hAnsi="宋体" w:eastAsia="仿宋_GB2312"/>
          <w:sz w:val="24"/>
          <w:szCs w:val="21"/>
        </w:rPr>
        <w:t>（2）标准文稿版次</w:t>
      </w:r>
      <w:r>
        <w:rPr>
          <w:rFonts w:hint="eastAsia" w:ascii="宋体" w:hAnsi="宋体" w:eastAsia="仿宋_GB2312"/>
          <w:sz w:val="24"/>
          <w:szCs w:val="21"/>
          <w:lang w:eastAsia="zh-CN"/>
        </w:rPr>
        <w:t>。</w:t>
      </w:r>
      <w:r>
        <w:rPr>
          <w:rFonts w:hint="eastAsia" w:ascii="宋体" w:hAnsi="宋体" w:eastAsia="仿宋_GB2312"/>
          <w:sz w:val="24"/>
          <w:szCs w:val="21"/>
        </w:rPr>
        <w:t>在</w:t>
      </w:r>
      <w:r>
        <w:rPr>
          <w:rFonts w:hint="eastAsia" w:ascii="宋体" w:hAnsi="宋体" w:eastAsia="仿宋_GB2312"/>
          <w:sz w:val="24"/>
          <w:szCs w:val="21"/>
          <w:lang w:eastAsia="zh-CN"/>
        </w:rPr>
        <w:t>标准名称下方“征求意见稿、送审稿、报批稿”前的方框凃选其一，例如“</w:t>
      </w:r>
      <w:r>
        <w:rPr>
          <w:rFonts w:hint="eastAsia" w:ascii="宋体" w:hAnsi="宋体" w:eastAsia="华文宋体" w:cs="华文宋体"/>
          <w:sz w:val="24"/>
          <w:szCs w:val="21"/>
          <w:lang w:eastAsia="zh-CN"/>
        </w:rPr>
        <w:t>■</w:t>
      </w:r>
      <w:r>
        <w:rPr>
          <w:rFonts w:hint="eastAsia" w:ascii="宋体" w:hAnsi="宋体" w:eastAsia="仿宋_GB2312"/>
          <w:sz w:val="24"/>
          <w:szCs w:val="21"/>
          <w:lang w:eastAsia="zh-CN"/>
        </w:rPr>
        <w:t>征求意见稿”。</w:t>
      </w:r>
      <w:r>
        <w:rPr>
          <w:rFonts w:hint="eastAsia" w:ascii="宋体" w:hAnsi="宋体" w:eastAsia="仿宋_GB2312"/>
          <w:sz w:val="24"/>
          <w:szCs w:val="21"/>
        </w:rPr>
        <w:t>字体字号为</w:t>
      </w:r>
      <w:r>
        <w:rPr>
          <w:rFonts w:hint="eastAsia" w:ascii="宋体" w:hAnsi="宋体" w:eastAsia="仿宋_GB2312"/>
          <w:sz w:val="24"/>
          <w:szCs w:val="21"/>
          <w:lang w:eastAsia="zh-CN"/>
        </w:rPr>
        <w:t>仿宋三</w:t>
      </w:r>
      <w:r>
        <w:rPr>
          <w:rFonts w:hint="eastAsia" w:ascii="宋体" w:hAnsi="宋体" w:eastAsia="仿宋_GB2312"/>
          <w:sz w:val="24"/>
          <w:szCs w:val="21"/>
        </w:rPr>
        <w:t>号。</w:t>
      </w:r>
    </w:p>
    <w:p w14:paraId="09B834F8">
      <w:pPr>
        <w:keepNext w:val="0"/>
        <w:keepLines w:val="0"/>
        <w:pageBreakBefore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仿宋_GB2312"/>
          <w:sz w:val="24"/>
          <w:szCs w:val="21"/>
        </w:rPr>
      </w:pPr>
      <w:r>
        <w:rPr>
          <w:rFonts w:hint="eastAsia" w:ascii="宋体" w:hAnsi="宋体" w:eastAsia="仿宋_GB2312"/>
          <w:sz w:val="24"/>
          <w:szCs w:val="21"/>
          <w:lang w:eastAsia="zh-CN"/>
        </w:rPr>
        <w:t>（</w:t>
      </w:r>
      <w:r>
        <w:rPr>
          <w:rFonts w:hint="eastAsia" w:ascii="宋体" w:hAnsi="宋体" w:eastAsia="仿宋_GB2312"/>
          <w:sz w:val="24"/>
          <w:szCs w:val="21"/>
          <w:lang w:val="en-US" w:eastAsia="zh-CN"/>
        </w:rPr>
        <w:t>3</w:t>
      </w:r>
      <w:r>
        <w:rPr>
          <w:rFonts w:hint="eastAsia" w:ascii="宋体" w:hAnsi="宋体" w:eastAsia="仿宋_GB2312"/>
          <w:sz w:val="24"/>
          <w:szCs w:val="21"/>
          <w:lang w:eastAsia="zh-CN"/>
        </w:rPr>
        <w:t>）标准编制组。</w:t>
      </w:r>
      <w:r>
        <w:rPr>
          <w:rFonts w:hint="eastAsia" w:ascii="宋体" w:hAnsi="宋体" w:eastAsia="仿宋_GB2312"/>
          <w:sz w:val="24"/>
          <w:szCs w:val="21"/>
        </w:rPr>
        <w:t>在封面靠下居中位置。字体字号为</w:t>
      </w:r>
      <w:r>
        <w:rPr>
          <w:rFonts w:hint="eastAsia" w:ascii="宋体" w:hAnsi="宋体" w:eastAsia="仿宋_GB2312"/>
          <w:sz w:val="24"/>
          <w:szCs w:val="21"/>
          <w:lang w:eastAsia="zh-CN"/>
        </w:rPr>
        <w:t>仿宋</w:t>
      </w:r>
      <w:r>
        <w:rPr>
          <w:rFonts w:hint="eastAsia" w:ascii="宋体" w:hAnsi="宋体" w:eastAsia="仿宋_GB2312"/>
          <w:sz w:val="24"/>
          <w:szCs w:val="21"/>
        </w:rPr>
        <w:t>三号。</w:t>
      </w:r>
    </w:p>
    <w:p w14:paraId="71149DE3">
      <w:pPr>
        <w:keepNext w:val="0"/>
        <w:keepLines w:val="0"/>
        <w:pageBreakBefore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仿宋_GB2312"/>
          <w:sz w:val="24"/>
          <w:szCs w:val="21"/>
        </w:rPr>
      </w:pPr>
      <w:r>
        <w:rPr>
          <w:rFonts w:hint="eastAsia" w:ascii="宋体" w:hAnsi="宋体" w:eastAsia="仿宋_GB2312"/>
          <w:sz w:val="24"/>
          <w:szCs w:val="21"/>
          <w:lang w:eastAsia="zh-CN"/>
        </w:rPr>
        <w:t>（</w:t>
      </w:r>
      <w:r>
        <w:rPr>
          <w:rFonts w:hint="eastAsia" w:ascii="宋体" w:hAnsi="宋体" w:eastAsia="仿宋_GB2312"/>
          <w:sz w:val="24"/>
          <w:szCs w:val="21"/>
          <w:lang w:val="en-US" w:eastAsia="zh-CN"/>
        </w:rPr>
        <w:t>4</w:t>
      </w:r>
      <w:r>
        <w:rPr>
          <w:rFonts w:hint="eastAsia" w:ascii="宋体" w:hAnsi="宋体" w:eastAsia="仿宋_GB2312"/>
          <w:sz w:val="24"/>
          <w:szCs w:val="21"/>
          <w:lang w:eastAsia="zh-CN"/>
        </w:rPr>
        <w:t>）</w:t>
      </w:r>
      <w:r>
        <w:rPr>
          <w:rFonts w:hint="eastAsia" w:ascii="宋体" w:hAnsi="宋体" w:eastAsia="仿宋_GB2312"/>
          <w:sz w:val="24"/>
          <w:szCs w:val="21"/>
        </w:rPr>
        <w:t>编制日期</w:t>
      </w:r>
      <w:r>
        <w:rPr>
          <w:rFonts w:hint="eastAsia" w:ascii="宋体" w:hAnsi="宋体" w:eastAsia="仿宋_GB2312"/>
          <w:sz w:val="24"/>
          <w:szCs w:val="21"/>
          <w:lang w:eastAsia="zh-CN"/>
        </w:rPr>
        <w:t>。</w:t>
      </w:r>
      <w:r>
        <w:rPr>
          <w:rFonts w:hint="eastAsia" w:ascii="宋体" w:hAnsi="宋体" w:eastAsia="仿宋_GB2312"/>
          <w:sz w:val="24"/>
          <w:szCs w:val="21"/>
        </w:rPr>
        <w:t>编制日期</w:t>
      </w:r>
      <w:r>
        <w:rPr>
          <w:rFonts w:hint="eastAsia" w:ascii="宋体" w:hAnsi="宋体" w:eastAsia="仿宋_GB2312"/>
          <w:sz w:val="24"/>
          <w:szCs w:val="21"/>
          <w:lang w:eastAsia="zh-CN"/>
        </w:rPr>
        <w:t>为本阶段完成的日期，</w:t>
      </w:r>
      <w:r>
        <w:rPr>
          <w:rFonts w:hint="eastAsia" w:ascii="宋体" w:hAnsi="宋体" w:eastAsia="仿宋_GB2312"/>
          <w:sz w:val="24"/>
          <w:szCs w:val="21"/>
        </w:rPr>
        <w:t>以数字格式书写，字体为</w:t>
      </w:r>
      <w:r>
        <w:rPr>
          <w:rFonts w:hint="eastAsia" w:ascii="宋体" w:hAnsi="宋体" w:eastAsia="仿宋_GB2312"/>
          <w:sz w:val="24"/>
          <w:szCs w:val="21"/>
          <w:lang w:eastAsia="zh-CN"/>
        </w:rPr>
        <w:t>宋体</w:t>
      </w:r>
      <w:r>
        <w:rPr>
          <w:rFonts w:hint="eastAsia" w:ascii="宋体" w:hAnsi="宋体" w:eastAsia="仿宋_GB2312"/>
          <w:sz w:val="24"/>
          <w:szCs w:val="21"/>
        </w:rPr>
        <w:t>，字号为三号。如：“2020</w:t>
      </w:r>
      <w:r>
        <w:rPr>
          <w:rFonts w:hint="eastAsia" w:ascii="宋体" w:hAnsi="宋体" w:eastAsia="仿宋_GB2312" w:cs="仿宋_GB2312"/>
          <w:sz w:val="24"/>
          <w:szCs w:val="21"/>
        </w:rPr>
        <w:t>年3月30日”</w:t>
      </w:r>
      <w:r>
        <w:rPr>
          <w:rFonts w:hint="eastAsia" w:ascii="宋体" w:hAnsi="宋体" w:eastAsia="仿宋_GB2312"/>
          <w:sz w:val="24"/>
          <w:szCs w:val="21"/>
        </w:rPr>
        <w:t>。</w:t>
      </w:r>
    </w:p>
    <w:p w14:paraId="09085A5F">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仿宋_GB2312"/>
          <w:sz w:val="24"/>
          <w:szCs w:val="21"/>
        </w:rPr>
      </w:pPr>
      <w:r>
        <w:rPr>
          <w:rFonts w:hint="eastAsia" w:ascii="宋体" w:hAnsi="宋体" w:eastAsia="仿宋_GB2312"/>
          <w:sz w:val="24"/>
          <w:szCs w:val="21"/>
          <w:lang w:val="en-US" w:eastAsia="zh-CN"/>
        </w:rPr>
        <w:t xml:space="preserve">    2</w:t>
      </w:r>
      <w:r>
        <w:rPr>
          <w:rFonts w:hint="eastAsia" w:ascii="宋体" w:hAnsi="宋体" w:eastAsia="仿宋_GB2312"/>
          <w:sz w:val="24"/>
          <w:szCs w:val="21"/>
        </w:rPr>
        <w:t>．标准编制说明的正文</w:t>
      </w:r>
    </w:p>
    <w:p w14:paraId="2C95F429">
      <w:pPr>
        <w:keepNext w:val="0"/>
        <w:keepLines w:val="0"/>
        <w:pageBreakBefore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仿宋_GB2312"/>
          <w:sz w:val="24"/>
          <w:szCs w:val="21"/>
          <w:lang w:val="en-US" w:eastAsia="zh-CN"/>
        </w:rPr>
      </w:pPr>
      <w:r>
        <w:rPr>
          <w:rFonts w:hint="eastAsia" w:ascii="宋体" w:hAnsi="宋体" w:eastAsia="仿宋_GB2312"/>
          <w:sz w:val="24"/>
          <w:szCs w:val="21"/>
        </w:rPr>
        <w:t>（1）</w:t>
      </w:r>
      <w:r>
        <w:rPr>
          <w:rFonts w:hint="eastAsia" w:ascii="宋体" w:hAnsi="宋体" w:eastAsia="仿宋_GB2312"/>
          <w:sz w:val="24"/>
          <w:szCs w:val="21"/>
          <w:lang w:eastAsia="zh-CN"/>
        </w:rPr>
        <w:t>正文页边距为上</w:t>
      </w:r>
      <w:r>
        <w:rPr>
          <w:rFonts w:hint="eastAsia" w:ascii="宋体" w:hAnsi="宋体" w:eastAsia="仿宋_GB2312"/>
          <w:sz w:val="24"/>
          <w:szCs w:val="21"/>
          <w:lang w:val="en-US" w:eastAsia="zh-CN"/>
        </w:rPr>
        <w:t>3cm、下</w:t>
      </w:r>
      <w:r>
        <w:rPr>
          <w:rFonts w:hint="default" w:ascii="宋体" w:hAnsi="宋体" w:eastAsia="仿宋_GB2312"/>
          <w:sz w:val="24"/>
          <w:szCs w:val="21"/>
          <w:lang w:val="en-US" w:eastAsia="zh-CN"/>
        </w:rPr>
        <w:t>2.6</w:t>
      </w:r>
      <w:r>
        <w:rPr>
          <w:rFonts w:hint="eastAsia" w:ascii="宋体" w:hAnsi="宋体" w:eastAsia="仿宋_GB2312"/>
          <w:sz w:val="24"/>
          <w:szCs w:val="21"/>
          <w:lang w:val="en-US" w:eastAsia="zh-CN"/>
        </w:rPr>
        <w:t>cm、左2.8cm、右2.6cm。</w:t>
      </w:r>
    </w:p>
    <w:p w14:paraId="651FA5B4">
      <w:pPr>
        <w:keepNext w:val="0"/>
        <w:keepLines w:val="0"/>
        <w:pageBreakBefore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仿宋_GB2312"/>
          <w:sz w:val="24"/>
          <w:szCs w:val="21"/>
          <w:lang w:val="en-US" w:eastAsia="zh-CN"/>
        </w:rPr>
      </w:pPr>
      <w:r>
        <w:rPr>
          <w:rFonts w:hint="eastAsia" w:ascii="宋体" w:hAnsi="宋体" w:eastAsia="仿宋_GB2312"/>
          <w:sz w:val="24"/>
          <w:szCs w:val="21"/>
          <w:lang w:val="en-US" w:eastAsia="zh-CN"/>
        </w:rPr>
        <w:t>（2）正文标题，</w:t>
      </w:r>
      <w:r>
        <w:rPr>
          <w:rFonts w:hint="eastAsia" w:ascii="宋体" w:hAnsi="宋体" w:eastAsia="仿宋_GB2312"/>
          <w:sz w:val="24"/>
          <w:szCs w:val="21"/>
        </w:rPr>
        <w:t>一级标题用黑体三号字，二级标题用</w:t>
      </w:r>
      <w:r>
        <w:rPr>
          <w:rFonts w:hint="eastAsia" w:ascii="宋体" w:hAnsi="宋体" w:eastAsia="仿宋_GB2312"/>
          <w:sz w:val="24"/>
          <w:szCs w:val="21"/>
          <w:lang w:eastAsia="zh-CN"/>
        </w:rPr>
        <w:t>楷体</w:t>
      </w:r>
      <w:r>
        <w:rPr>
          <w:rFonts w:hint="eastAsia" w:ascii="宋体" w:hAnsi="宋体" w:eastAsia="仿宋_GB2312"/>
          <w:sz w:val="24"/>
          <w:szCs w:val="21"/>
        </w:rPr>
        <w:t>三号字</w:t>
      </w:r>
      <w:r>
        <w:rPr>
          <w:rFonts w:hint="eastAsia" w:ascii="宋体" w:hAnsi="宋体" w:eastAsia="仿宋_GB2312"/>
          <w:sz w:val="24"/>
          <w:szCs w:val="21"/>
          <w:lang w:eastAsia="zh-CN"/>
        </w:rPr>
        <w:t>不加粗</w:t>
      </w:r>
      <w:r>
        <w:rPr>
          <w:rFonts w:hint="eastAsia" w:ascii="宋体" w:hAnsi="宋体" w:eastAsia="仿宋_GB2312"/>
          <w:sz w:val="24"/>
          <w:szCs w:val="21"/>
        </w:rPr>
        <w:t>。</w:t>
      </w:r>
      <w:r>
        <w:rPr>
          <w:rFonts w:hint="eastAsia" w:ascii="宋体" w:hAnsi="宋体" w:eastAsia="仿宋_GB2312"/>
          <w:sz w:val="24"/>
          <w:szCs w:val="21"/>
          <w:lang w:eastAsia="zh-CN"/>
        </w:rPr>
        <w:t>三级、四级标题用仿宋</w:t>
      </w:r>
      <w:r>
        <w:rPr>
          <w:rFonts w:hint="eastAsia" w:ascii="宋体" w:hAnsi="宋体" w:eastAsia="仿宋_GB2312"/>
          <w:sz w:val="24"/>
          <w:szCs w:val="21"/>
          <w:lang w:val="en-US" w:eastAsia="zh-CN"/>
        </w:rPr>
        <w:t>GB-2312</w:t>
      </w:r>
      <w:r>
        <w:rPr>
          <w:rFonts w:hint="eastAsia" w:ascii="宋体" w:hAnsi="宋体" w:eastAsia="仿宋_GB2312"/>
          <w:sz w:val="24"/>
          <w:szCs w:val="21"/>
          <w:lang w:eastAsia="zh-CN"/>
        </w:rPr>
        <w:t>三号字不加粗。文中结构层次序数为“一、”“（一）”“</w:t>
      </w:r>
      <w:r>
        <w:rPr>
          <w:rFonts w:hint="eastAsia" w:ascii="宋体" w:hAnsi="宋体" w:eastAsia="仿宋_GB2312"/>
          <w:sz w:val="24"/>
          <w:szCs w:val="21"/>
          <w:lang w:val="en-US" w:eastAsia="zh-CN"/>
        </w:rPr>
        <w:t>1.”“（1）”标注。</w:t>
      </w:r>
    </w:p>
    <w:p w14:paraId="55A1F341">
      <w:pPr>
        <w:keepNext w:val="0"/>
        <w:keepLines w:val="0"/>
        <w:pageBreakBefore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仿宋_GB2312"/>
          <w:sz w:val="24"/>
          <w:szCs w:val="21"/>
        </w:rPr>
      </w:pPr>
      <w:r>
        <w:rPr>
          <w:rFonts w:hint="eastAsia" w:ascii="宋体" w:hAnsi="宋体" w:eastAsia="仿宋_GB2312"/>
          <w:sz w:val="24"/>
          <w:szCs w:val="21"/>
        </w:rPr>
        <w:t>（</w:t>
      </w:r>
      <w:r>
        <w:rPr>
          <w:rFonts w:hint="eastAsia" w:ascii="宋体" w:hAnsi="宋体" w:eastAsia="仿宋_GB2312"/>
          <w:sz w:val="24"/>
          <w:szCs w:val="21"/>
          <w:lang w:val="en-US" w:eastAsia="zh-CN"/>
        </w:rPr>
        <w:t>3</w:t>
      </w:r>
      <w:r>
        <w:rPr>
          <w:rFonts w:hint="eastAsia" w:ascii="宋体" w:hAnsi="宋体" w:eastAsia="仿宋_GB2312"/>
          <w:sz w:val="24"/>
          <w:szCs w:val="21"/>
        </w:rPr>
        <w:t>）正文</w:t>
      </w:r>
      <w:r>
        <w:rPr>
          <w:rFonts w:hint="eastAsia" w:ascii="宋体" w:hAnsi="宋体" w:eastAsia="仿宋_GB2312"/>
          <w:sz w:val="24"/>
          <w:szCs w:val="21"/>
          <w:lang w:eastAsia="zh-CN"/>
        </w:rPr>
        <w:t>中文字体字号为</w:t>
      </w:r>
      <w:r>
        <w:rPr>
          <w:rFonts w:hint="eastAsia" w:ascii="宋体" w:hAnsi="宋体" w:eastAsia="仿宋_GB2312"/>
          <w:sz w:val="24"/>
          <w:szCs w:val="21"/>
        </w:rPr>
        <w:t>仿宋</w:t>
      </w:r>
      <w:r>
        <w:rPr>
          <w:rFonts w:hint="eastAsia" w:ascii="宋体" w:hAnsi="宋体" w:eastAsia="仿宋_GB2312"/>
          <w:sz w:val="24"/>
          <w:szCs w:val="21"/>
          <w:lang w:val="en-US" w:eastAsia="zh-CN"/>
        </w:rPr>
        <w:t>GB-2312</w:t>
      </w:r>
      <w:r>
        <w:rPr>
          <w:rFonts w:hint="eastAsia" w:ascii="宋体" w:hAnsi="宋体" w:eastAsia="仿宋_GB2312"/>
          <w:sz w:val="24"/>
          <w:szCs w:val="21"/>
          <w:lang w:eastAsia="zh-CN"/>
        </w:rPr>
        <w:t>三</w:t>
      </w:r>
      <w:r>
        <w:rPr>
          <w:rFonts w:hint="eastAsia" w:ascii="宋体" w:hAnsi="宋体" w:eastAsia="仿宋_GB2312"/>
          <w:sz w:val="24"/>
          <w:szCs w:val="21"/>
        </w:rPr>
        <w:t>号字</w:t>
      </w:r>
      <w:r>
        <w:rPr>
          <w:rFonts w:hint="eastAsia" w:ascii="宋体" w:hAnsi="宋体" w:eastAsia="仿宋_GB2312"/>
          <w:sz w:val="24"/>
          <w:szCs w:val="21"/>
          <w:lang w:eastAsia="zh-CN"/>
        </w:rPr>
        <w:t>，数字、字母等西文字体为宋体三号字，</w:t>
      </w:r>
      <w:r>
        <w:rPr>
          <w:rFonts w:hint="eastAsia" w:ascii="宋体" w:hAnsi="宋体" w:eastAsia="仿宋_GB2312"/>
          <w:sz w:val="24"/>
          <w:szCs w:val="21"/>
        </w:rPr>
        <w:t>段落</w:t>
      </w:r>
      <w:r>
        <w:rPr>
          <w:rFonts w:hint="eastAsia" w:ascii="宋体" w:hAnsi="宋体" w:eastAsia="仿宋_GB2312"/>
          <w:sz w:val="24"/>
          <w:szCs w:val="21"/>
          <w:lang w:eastAsia="zh-CN"/>
        </w:rPr>
        <w:t>行距</w:t>
      </w:r>
      <w:r>
        <w:rPr>
          <w:rFonts w:hint="eastAsia" w:ascii="宋体" w:hAnsi="宋体" w:eastAsia="仿宋_GB2312"/>
          <w:sz w:val="24"/>
          <w:szCs w:val="21"/>
        </w:rPr>
        <w:t>为</w:t>
      </w:r>
      <w:r>
        <w:rPr>
          <w:rFonts w:hint="eastAsia" w:ascii="宋体" w:hAnsi="宋体" w:eastAsia="仿宋_GB2312"/>
          <w:sz w:val="24"/>
          <w:szCs w:val="21"/>
          <w:lang w:val="en-US" w:eastAsia="zh-CN"/>
        </w:rPr>
        <w:t>28磅</w:t>
      </w:r>
      <w:r>
        <w:rPr>
          <w:rFonts w:hint="eastAsia" w:ascii="宋体" w:hAnsi="宋体" w:eastAsia="仿宋_GB2312"/>
          <w:sz w:val="24"/>
          <w:szCs w:val="21"/>
        </w:rPr>
        <w:t>，首行缩进2字符。</w:t>
      </w:r>
    </w:p>
    <w:p w14:paraId="0861FFD6">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仿宋_GB2312"/>
          <w:sz w:val="24"/>
          <w:szCs w:val="21"/>
          <w:lang w:val="en-US" w:eastAsia="zh-CN"/>
        </w:rPr>
      </w:pPr>
      <w:r>
        <w:rPr>
          <w:rFonts w:hint="eastAsia" w:ascii="宋体" w:hAnsi="宋体" w:eastAsia="仿宋_GB2312"/>
          <w:sz w:val="24"/>
          <w:szCs w:val="21"/>
          <w:lang w:val="en-US" w:eastAsia="zh-CN"/>
        </w:rPr>
        <w:t xml:space="preserve">    3.编制说明的内容</w:t>
      </w:r>
    </w:p>
    <w:p w14:paraId="3EC4C13D">
      <w:pPr>
        <w:keepNext w:val="0"/>
        <w:keepLines w:val="0"/>
        <w:pageBreakBefore w:val="0"/>
        <w:widowControl/>
        <w:kinsoku/>
        <w:wordWrap/>
        <w:overflowPunct/>
        <w:topLinePunct w:val="0"/>
        <w:autoSpaceDE/>
        <w:autoSpaceDN/>
        <w:bidi w:val="0"/>
        <w:adjustRightInd/>
        <w:snapToGrid/>
        <w:spacing w:line="360" w:lineRule="auto"/>
        <w:ind w:firstLine="480"/>
        <w:textAlignment w:val="auto"/>
        <w:outlineLvl w:val="9"/>
        <w:rPr>
          <w:rFonts w:hint="eastAsia" w:ascii="宋体" w:hAnsi="宋体" w:eastAsia="仿宋_GB2312"/>
          <w:sz w:val="24"/>
          <w:szCs w:val="21"/>
          <w:lang w:eastAsia="zh-CN"/>
        </w:rPr>
      </w:pPr>
      <w:r>
        <w:rPr>
          <w:rFonts w:hint="eastAsia" w:ascii="宋体" w:hAnsi="宋体" w:eastAsia="仿宋_GB2312"/>
          <w:sz w:val="24"/>
          <w:szCs w:val="21"/>
        </w:rPr>
        <w:t>（1）</w:t>
      </w:r>
      <w:r>
        <w:rPr>
          <w:rFonts w:hint="eastAsia" w:ascii="宋体" w:hAnsi="宋体" w:eastAsia="仿宋_GB2312"/>
          <w:sz w:val="24"/>
          <w:szCs w:val="21"/>
          <w:lang w:eastAsia="zh-CN"/>
        </w:rPr>
        <w:t>应按照格式要求逐条说明，不涉及的填“无”。</w:t>
      </w:r>
    </w:p>
    <w:p w14:paraId="0FBC7B7E">
      <w:pPr>
        <w:keepNext w:val="0"/>
        <w:keepLines w:val="0"/>
        <w:pageBreakBefore w:val="0"/>
        <w:widowControl/>
        <w:kinsoku/>
        <w:wordWrap/>
        <w:overflowPunct/>
        <w:topLinePunct w:val="0"/>
        <w:autoSpaceDE/>
        <w:autoSpaceDN/>
        <w:bidi w:val="0"/>
        <w:adjustRightInd/>
        <w:snapToGrid/>
        <w:spacing w:line="360" w:lineRule="auto"/>
        <w:ind w:firstLine="480"/>
        <w:textAlignment w:val="auto"/>
        <w:outlineLvl w:val="9"/>
        <w:rPr>
          <w:rFonts w:hint="eastAsia" w:ascii="宋体" w:hAnsi="宋体" w:eastAsia="仿宋_GB2312"/>
          <w:sz w:val="24"/>
          <w:szCs w:val="21"/>
          <w:lang w:val="en-US" w:eastAsia="zh-CN"/>
        </w:rPr>
      </w:pPr>
      <w:r>
        <w:rPr>
          <w:rFonts w:hint="eastAsia" w:ascii="宋体" w:hAnsi="宋体" w:eastAsia="仿宋_GB2312"/>
          <w:sz w:val="24"/>
          <w:szCs w:val="21"/>
          <w:lang w:val="en-US" w:eastAsia="zh-CN"/>
        </w:rPr>
        <w:t>（2）应根据工作进度不断补充完善，工作过程有连续性。</w:t>
      </w:r>
    </w:p>
    <w:p w14:paraId="40AC751C">
      <w:pPr>
        <w:keepNext w:val="0"/>
        <w:keepLines w:val="0"/>
        <w:pageBreakBefore w:val="0"/>
        <w:widowControl/>
        <w:kinsoku/>
        <w:wordWrap/>
        <w:overflowPunct/>
        <w:topLinePunct w:val="0"/>
        <w:autoSpaceDE/>
        <w:autoSpaceDN/>
        <w:bidi w:val="0"/>
        <w:adjustRightInd/>
        <w:snapToGrid/>
        <w:spacing w:line="360" w:lineRule="auto"/>
        <w:ind w:firstLine="480"/>
        <w:textAlignment w:val="auto"/>
        <w:outlineLvl w:val="9"/>
        <w:rPr>
          <w:rFonts w:hint="eastAsia" w:ascii="宋体" w:hAnsi="宋体" w:eastAsia="仿宋_GB2312"/>
          <w:sz w:val="24"/>
          <w:szCs w:val="21"/>
          <w:lang w:eastAsia="zh-CN"/>
        </w:rPr>
      </w:pPr>
      <w:r>
        <w:rPr>
          <w:rFonts w:hint="eastAsia" w:ascii="宋体" w:hAnsi="宋体" w:eastAsia="仿宋_GB2312"/>
          <w:sz w:val="24"/>
          <w:szCs w:val="21"/>
          <w:lang w:eastAsia="zh-CN"/>
        </w:rPr>
        <w:t>（</w:t>
      </w:r>
      <w:r>
        <w:rPr>
          <w:rFonts w:hint="eastAsia" w:ascii="宋体" w:hAnsi="宋体" w:eastAsia="仿宋_GB2312"/>
          <w:sz w:val="24"/>
          <w:szCs w:val="21"/>
          <w:lang w:val="en-US" w:eastAsia="zh-CN"/>
        </w:rPr>
        <w:t>3</w:t>
      </w:r>
      <w:r>
        <w:rPr>
          <w:rFonts w:hint="eastAsia" w:ascii="宋体" w:hAnsi="宋体" w:eastAsia="仿宋_GB2312"/>
          <w:sz w:val="24"/>
          <w:szCs w:val="21"/>
          <w:lang w:eastAsia="zh-CN"/>
        </w:rPr>
        <w:t>）编制说明不是对标准内容的复制。</w:t>
      </w:r>
    </w:p>
    <w:p w14:paraId="5E7B1453">
      <w:pPr>
        <w:keepNext w:val="0"/>
        <w:keepLines w:val="0"/>
        <w:pageBreakBefore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仿宋_GB2312"/>
          <w:sz w:val="24"/>
          <w:szCs w:val="21"/>
        </w:rPr>
      </w:pPr>
      <w:r>
        <w:rPr>
          <w:rFonts w:hint="eastAsia" w:ascii="宋体" w:hAnsi="宋体" w:eastAsia="仿宋_GB2312"/>
          <w:sz w:val="24"/>
          <w:szCs w:val="21"/>
          <w:lang w:eastAsia="zh-CN"/>
        </w:rPr>
        <w:t>（</w:t>
      </w:r>
      <w:r>
        <w:rPr>
          <w:rFonts w:hint="eastAsia" w:ascii="宋体" w:hAnsi="宋体" w:eastAsia="仿宋_GB2312"/>
          <w:sz w:val="24"/>
          <w:szCs w:val="21"/>
          <w:lang w:val="en-US" w:eastAsia="zh-CN"/>
        </w:rPr>
        <w:t>4</w:t>
      </w:r>
      <w:r>
        <w:rPr>
          <w:rFonts w:hint="eastAsia" w:ascii="宋体" w:hAnsi="宋体" w:eastAsia="仿宋_GB2312"/>
          <w:sz w:val="24"/>
          <w:szCs w:val="21"/>
          <w:lang w:eastAsia="zh-CN"/>
        </w:rPr>
        <w:t>）应关注强制性标准的依据、修订标准的主要技术内容比对、标准实施过渡期、强制性标准实施政策等重要内容的编写，详见下文模板。</w:t>
      </w:r>
    </w:p>
    <w:p w14:paraId="61ED7DED">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ascii="宋体" w:hAnsi="宋体" w:eastAsia="仿宋_GB2312"/>
          <w:sz w:val="24"/>
          <w:szCs w:val="21"/>
          <w:lang w:val="en-US" w:eastAsia="zh-CN"/>
        </w:rPr>
      </w:pPr>
      <w:r>
        <w:rPr>
          <w:rFonts w:hint="eastAsia" w:ascii="宋体" w:hAnsi="宋体" w:eastAsia="仿宋_GB2312"/>
          <w:sz w:val="24"/>
          <w:szCs w:val="21"/>
          <w:lang w:val="en-US" w:eastAsia="zh-CN"/>
        </w:rPr>
        <w:t xml:space="preserve">    4.其他</w:t>
      </w:r>
    </w:p>
    <w:p w14:paraId="62BDDB7C">
      <w:pPr>
        <w:keepNext w:val="0"/>
        <w:keepLines w:val="0"/>
        <w:pageBreakBefore w:val="0"/>
        <w:widowControl/>
        <w:kinsoku/>
        <w:wordWrap/>
        <w:overflowPunct/>
        <w:topLinePunct w:val="0"/>
        <w:autoSpaceDE/>
        <w:autoSpaceDN/>
        <w:bidi w:val="0"/>
        <w:adjustRightInd/>
        <w:snapToGrid/>
        <w:spacing w:line="360" w:lineRule="auto"/>
        <w:ind w:firstLine="480"/>
        <w:textAlignment w:val="auto"/>
        <w:outlineLvl w:val="9"/>
        <w:rPr>
          <w:rFonts w:hint="eastAsia" w:ascii="宋体" w:hAnsi="宋体" w:eastAsia="仿宋_GB2312"/>
          <w:sz w:val="24"/>
          <w:szCs w:val="21"/>
          <w:lang w:val="en-US" w:eastAsia="zh-CN"/>
        </w:rPr>
      </w:pPr>
      <w:r>
        <w:rPr>
          <w:rFonts w:hint="eastAsia" w:ascii="宋体" w:hAnsi="宋体" w:eastAsia="仿宋_GB2312"/>
          <w:sz w:val="24"/>
          <w:szCs w:val="21"/>
        </w:rPr>
        <w:t>（1）</w:t>
      </w:r>
      <w:r>
        <w:rPr>
          <w:rFonts w:hint="eastAsia" w:ascii="宋体" w:hAnsi="宋体" w:eastAsia="仿宋_GB2312"/>
          <w:sz w:val="24"/>
          <w:szCs w:val="21"/>
          <w:lang w:val="en-US" w:eastAsia="zh-CN"/>
        </w:rPr>
        <w:t>编制说明内容模板中的斜体文字内容为参考，正式提交后应删除。</w:t>
      </w:r>
    </w:p>
    <w:p w14:paraId="236B7BA9">
      <w:pPr>
        <w:keepNext w:val="0"/>
        <w:keepLines w:val="0"/>
        <w:pageBreakBefore w:val="0"/>
        <w:widowControl/>
        <w:kinsoku/>
        <w:wordWrap/>
        <w:overflowPunct/>
        <w:topLinePunct w:val="0"/>
        <w:autoSpaceDE/>
        <w:autoSpaceDN/>
        <w:bidi w:val="0"/>
        <w:adjustRightInd/>
        <w:snapToGrid/>
        <w:spacing w:line="360" w:lineRule="auto"/>
        <w:ind w:firstLine="480"/>
        <w:textAlignment w:val="auto"/>
        <w:outlineLvl w:val="9"/>
        <w:rPr>
          <w:rFonts w:hint="eastAsia" w:ascii="宋体" w:hAnsi="宋体" w:eastAsia="仿宋_GB2312"/>
          <w:sz w:val="24"/>
          <w:szCs w:val="21"/>
          <w:lang w:val="en-US" w:eastAsia="zh-CN"/>
        </w:rPr>
      </w:pPr>
      <w:r>
        <w:rPr>
          <w:rFonts w:hint="eastAsia" w:ascii="宋体" w:hAnsi="宋体" w:eastAsia="仿宋_GB2312"/>
          <w:sz w:val="24"/>
          <w:szCs w:val="21"/>
          <w:lang w:val="en-US" w:eastAsia="zh-CN"/>
        </w:rPr>
        <w:t>（2）编制说明应正反面打印。本说明保留，打印首页反面。</w:t>
      </w:r>
    </w:p>
    <w:p w14:paraId="0EA7B900">
      <w:pPr>
        <w:keepNext w:val="0"/>
        <w:keepLines w:val="0"/>
        <w:pageBreakBefore w:val="0"/>
        <w:widowControl/>
        <w:kinsoku/>
        <w:wordWrap/>
        <w:overflowPunct/>
        <w:topLinePunct w:val="0"/>
        <w:autoSpaceDE/>
        <w:autoSpaceDN/>
        <w:bidi w:val="0"/>
        <w:adjustRightInd/>
        <w:snapToGrid/>
        <w:spacing w:line="360" w:lineRule="auto"/>
        <w:ind w:firstLine="480"/>
        <w:textAlignment w:val="auto"/>
        <w:outlineLvl w:val="9"/>
        <w:rPr>
          <w:rFonts w:hint="eastAsia" w:ascii="宋体" w:hAnsi="宋体" w:eastAsia="仿宋_GB2312"/>
          <w:sz w:val="24"/>
          <w:szCs w:val="21"/>
          <w:lang w:val="en-US" w:eastAsia="zh-CN"/>
        </w:rPr>
      </w:pPr>
      <w:r>
        <w:rPr>
          <w:rFonts w:hint="eastAsia" w:ascii="宋体" w:hAnsi="宋体" w:eastAsia="仿宋_GB2312"/>
          <w:sz w:val="24"/>
          <w:szCs w:val="21"/>
          <w:lang w:val="en-US" w:eastAsia="zh-CN"/>
        </w:rPr>
        <w:t>（3）页码从第三页开始编，起始页码为“</w:t>
      </w:r>
      <w:r>
        <w:rPr>
          <w:rFonts w:hint="default" w:ascii="宋体" w:hAnsi="宋体" w:eastAsia="仿宋_GB2312"/>
          <w:sz w:val="24"/>
          <w:szCs w:val="21"/>
          <w:lang w:val="en-US" w:eastAsia="zh-CN"/>
        </w:rPr>
        <w:t>1</w:t>
      </w:r>
      <w:r>
        <w:rPr>
          <w:rFonts w:hint="eastAsia" w:ascii="宋体" w:hAnsi="宋体" w:eastAsia="仿宋_GB2312"/>
          <w:sz w:val="24"/>
          <w:szCs w:val="21"/>
          <w:lang w:val="en-US" w:eastAsia="zh-CN"/>
        </w:rPr>
        <w:t>”，页码为五号宋体。</w:t>
      </w:r>
    </w:p>
    <w:p w14:paraId="7AE3405A">
      <w:pPr>
        <w:pStyle w:val="2"/>
        <w:rPr>
          <w:rFonts w:hint="eastAsia" w:ascii="宋体" w:hAnsi="宋体" w:eastAsia="仿宋_GB2312"/>
          <w:sz w:val="24"/>
          <w:szCs w:val="21"/>
          <w:lang w:val="en-US" w:eastAsia="zh-CN"/>
        </w:rPr>
      </w:pPr>
    </w:p>
    <w:p w14:paraId="1C6F8425">
      <w:pPr>
        <w:rPr>
          <w:rFonts w:hint="eastAsia"/>
          <w:lang w:val="en-US" w:eastAsia="zh-CN"/>
        </w:rPr>
      </w:pPr>
      <w:r>
        <w:rPr>
          <w:rFonts w:hint="eastAsia"/>
          <w:lang w:val="en-US" w:eastAsia="zh-CN"/>
        </w:rPr>
        <w:br w:type="page"/>
      </w:r>
    </w:p>
    <w:p w14:paraId="40D7BDC0">
      <w:pPr>
        <w:snapToGrid w:val="0"/>
        <w:spacing w:line="360" w:lineRule="auto"/>
        <w:ind w:firstLine="560" w:firstLineChars="200"/>
        <w:rPr>
          <w:rFonts w:ascii="Times New Roman" w:hAnsi="Times New Roman" w:eastAsia="仿宋"/>
          <w:sz w:val="28"/>
          <w:szCs w:val="28"/>
        </w:rPr>
        <w:sectPr>
          <w:footerReference r:id="rId29" w:type="default"/>
          <w:pgSz w:w="11906" w:h="16838"/>
          <w:pgMar w:top="1701" w:right="1474" w:bottom="1474" w:left="1587" w:header="851" w:footer="992" w:gutter="0"/>
          <w:pgNumType w:fmt="decimal"/>
          <w:cols w:space="720" w:num="1"/>
          <w:rtlGutter w:val="0"/>
          <w:docGrid w:type="lines" w:linePitch="312" w:charSpace="0"/>
        </w:sectPr>
      </w:pPr>
    </w:p>
    <w:p w14:paraId="382502F4">
      <w:pPr>
        <w:widowControl/>
        <w:spacing w:line="560" w:lineRule="exact"/>
        <w:ind w:firstLine="640" w:firstLineChars="200"/>
        <w:outlineLvl w:val="0"/>
        <w:rPr>
          <w:rFonts w:hint="eastAsia" w:ascii="黑体" w:hAnsi="黑体" w:eastAsia="黑体"/>
          <w:sz w:val="32"/>
          <w:szCs w:val="32"/>
        </w:rPr>
      </w:pPr>
      <w:r>
        <w:rPr>
          <w:rFonts w:hint="eastAsia" w:ascii="黑体" w:hAnsi="黑体" w:eastAsia="黑体"/>
          <w:sz w:val="32"/>
          <w:szCs w:val="32"/>
        </w:rPr>
        <w:t>一、工作简况</w:t>
      </w:r>
    </w:p>
    <w:p w14:paraId="0ABD6ABE">
      <w:pPr>
        <w:spacing w:line="560" w:lineRule="exact"/>
        <w:ind w:firstLine="640" w:firstLineChars="200"/>
        <w:rPr>
          <w:rFonts w:ascii="楷体" w:hAnsi="楷体" w:eastAsia="楷体"/>
          <w:sz w:val="32"/>
          <w:szCs w:val="32"/>
          <w:shd w:val="clear" w:color="auto" w:fill="FFFFFF"/>
        </w:rPr>
      </w:pPr>
      <w:r>
        <w:rPr>
          <w:rFonts w:hint="eastAsia" w:ascii="楷体" w:hAnsi="楷体" w:eastAsia="楷体"/>
          <w:sz w:val="32"/>
          <w:szCs w:val="32"/>
          <w:shd w:val="clear" w:color="auto" w:fill="FFFFFF"/>
        </w:rPr>
        <w:t>（一）任务来源</w:t>
      </w:r>
    </w:p>
    <w:p w14:paraId="6A96A608">
      <w:pPr>
        <w:spacing w:line="560" w:lineRule="exact"/>
        <w:ind w:firstLine="640" w:firstLineChars="200"/>
        <w:rPr>
          <w:rFonts w:hint="eastAsia" w:ascii="宋体" w:hAnsi="宋体" w:eastAsia="仿宋_GB2312"/>
          <w:color w:val="000000" w:themeColor="text1"/>
          <w:sz w:val="32"/>
          <w:szCs w:val="32"/>
          <w:shd w:val="clear" w:color="auto" w:fill="FFFFFF"/>
          <w14:textFill>
            <w14:solidFill>
              <w14:schemeClr w14:val="tx1"/>
            </w14:solidFill>
          </w14:textFill>
        </w:rPr>
      </w:pPr>
      <w:r>
        <w:rPr>
          <w:rFonts w:hint="eastAsia" w:ascii="宋体" w:hAnsi="宋体" w:eastAsia="仿宋_GB2312"/>
          <w:color w:val="000000" w:themeColor="text1"/>
          <w:sz w:val="32"/>
          <w:szCs w:val="32"/>
          <w:shd w:val="clear" w:color="auto" w:fill="FFFFFF"/>
          <w14:textFill>
            <w14:solidFill>
              <w14:schemeClr w14:val="tx1"/>
            </w14:solidFill>
          </w14:textFill>
        </w:rPr>
        <w:t>根据《应急管理部办公厅关于印发</w:t>
      </w:r>
      <w:r>
        <w:rPr>
          <w:rFonts w:hint="eastAsia" w:ascii="宋体" w:hAnsi="宋体" w:eastAsia="仿宋_GB2312"/>
          <w:color w:val="000000" w:themeColor="text1"/>
          <w:sz w:val="32"/>
          <w:szCs w:val="32"/>
          <w:shd w:val="clear" w:color="auto" w:fill="FFFFFF"/>
          <w:lang w:val="en-US" w:eastAsia="zh-CN"/>
          <w14:textFill>
            <w14:solidFill>
              <w14:schemeClr w14:val="tx1"/>
            </w14:solidFill>
          </w14:textFill>
        </w:rPr>
        <w:t>17</w:t>
      </w:r>
      <w:r>
        <w:rPr>
          <w:rFonts w:hint="eastAsia" w:ascii="宋体" w:hAnsi="宋体" w:eastAsia="仿宋_GB2312"/>
          <w:color w:val="000000" w:themeColor="text1"/>
          <w:sz w:val="32"/>
          <w:szCs w:val="32"/>
          <w:shd w:val="clear" w:color="auto" w:fill="FFFFFF"/>
          <w14:textFill>
            <w14:solidFill>
              <w14:schemeClr w14:val="tx1"/>
            </w14:solidFill>
          </w14:textFill>
        </w:rPr>
        <w:t>项行业标准制修订计划的通知》（应急厅函〔</w:t>
      </w:r>
      <w:r>
        <w:rPr>
          <w:rFonts w:ascii="宋体" w:hAnsi="宋体" w:eastAsia="仿宋_GB2312"/>
          <w:color w:val="000000" w:themeColor="text1"/>
          <w:sz w:val="32"/>
          <w:szCs w:val="32"/>
          <w:shd w:val="clear" w:color="auto" w:fill="FFFFFF"/>
          <w14:textFill>
            <w14:solidFill>
              <w14:schemeClr w14:val="tx1"/>
            </w14:solidFill>
          </w14:textFill>
        </w:rPr>
        <w:t>202</w:t>
      </w:r>
      <w:r>
        <w:rPr>
          <w:rFonts w:hint="eastAsia" w:ascii="宋体" w:hAnsi="宋体" w:eastAsia="仿宋_GB2312"/>
          <w:color w:val="000000" w:themeColor="text1"/>
          <w:sz w:val="32"/>
          <w:szCs w:val="32"/>
          <w:shd w:val="clear" w:color="auto" w:fill="FFFFFF"/>
          <w:lang w:val="en-US" w:eastAsia="zh-CN"/>
          <w14:textFill>
            <w14:solidFill>
              <w14:schemeClr w14:val="tx1"/>
            </w14:solidFill>
          </w14:textFill>
        </w:rPr>
        <w:t>6</w:t>
      </w:r>
      <w:r>
        <w:rPr>
          <w:rFonts w:hint="eastAsia" w:ascii="宋体" w:hAnsi="宋体" w:eastAsia="仿宋_GB2312"/>
          <w:color w:val="000000" w:themeColor="text1"/>
          <w:sz w:val="32"/>
          <w:szCs w:val="32"/>
          <w:shd w:val="clear" w:color="auto" w:fill="FFFFFF"/>
          <w14:textFill>
            <w14:solidFill>
              <w14:schemeClr w14:val="tx1"/>
            </w14:solidFill>
          </w14:textFill>
        </w:rPr>
        <w:t>〕</w:t>
      </w:r>
      <w:r>
        <w:rPr>
          <w:rFonts w:hint="eastAsia" w:ascii="宋体" w:hAnsi="宋体" w:eastAsia="仿宋_GB2312"/>
          <w:color w:val="000000" w:themeColor="text1"/>
          <w:sz w:val="32"/>
          <w:szCs w:val="32"/>
          <w:shd w:val="clear" w:color="auto" w:fill="FFFFFF"/>
          <w:lang w:val="en-US" w:eastAsia="zh-CN"/>
          <w14:textFill>
            <w14:solidFill>
              <w14:schemeClr w14:val="tx1"/>
            </w14:solidFill>
          </w14:textFill>
        </w:rPr>
        <w:t>84</w:t>
      </w:r>
      <w:r>
        <w:rPr>
          <w:rFonts w:hint="eastAsia" w:ascii="宋体" w:hAnsi="宋体" w:eastAsia="仿宋_GB2312"/>
          <w:color w:val="000000" w:themeColor="text1"/>
          <w:sz w:val="32"/>
          <w:szCs w:val="32"/>
          <w:shd w:val="clear" w:color="auto" w:fill="FFFFFF"/>
          <w14:textFill>
            <w14:solidFill>
              <w14:schemeClr w14:val="tx1"/>
            </w14:solidFill>
          </w14:textFill>
        </w:rPr>
        <w:t>号）文件，</w:t>
      </w:r>
      <w:r>
        <w:rPr>
          <w:rFonts w:hint="eastAsia" w:ascii="宋体" w:hAnsi="宋体" w:eastAsia="仿宋_GB2312" w:cs="仿宋_GB2312"/>
          <w:spacing w:val="-5"/>
          <w:kern w:val="0"/>
          <w:sz w:val="32"/>
          <w:szCs w:val="32"/>
          <w:lang w:val="en-US" w:eastAsia="zh-CN" w:bidi="ar-SA"/>
        </w:rPr>
        <w:t>《海洋石油天然气企业安全现状评价导则》</w:t>
      </w:r>
      <w:r>
        <w:rPr>
          <w:rFonts w:hint="eastAsia" w:ascii="宋体" w:hAnsi="宋体" w:eastAsia="仿宋_GB2312"/>
          <w:color w:val="000000" w:themeColor="text1"/>
          <w:sz w:val="32"/>
          <w:szCs w:val="32"/>
          <w:shd w:val="clear" w:color="auto" w:fill="FFFFFF"/>
          <w14:textFill>
            <w14:solidFill>
              <w14:schemeClr w14:val="tx1"/>
            </w14:solidFill>
          </w14:textFill>
        </w:rPr>
        <w:t>的制修订计划编号为</w:t>
      </w:r>
      <w:r>
        <w:rPr>
          <w:rFonts w:ascii="宋体" w:hAnsi="宋体" w:eastAsia="仿宋_GB2312"/>
          <w:color w:val="000000" w:themeColor="text1"/>
          <w:sz w:val="32"/>
          <w:szCs w:val="32"/>
          <w:shd w:val="clear" w:color="auto" w:fill="FFFFFF"/>
          <w14:textFill>
            <w14:solidFill>
              <w14:schemeClr w14:val="tx1"/>
            </w14:solidFill>
          </w14:textFill>
        </w:rPr>
        <w:t>202</w:t>
      </w:r>
      <w:r>
        <w:rPr>
          <w:rFonts w:hint="eastAsia" w:ascii="宋体" w:hAnsi="宋体" w:eastAsia="仿宋_GB2312"/>
          <w:color w:val="000000" w:themeColor="text1"/>
          <w:sz w:val="32"/>
          <w:szCs w:val="32"/>
          <w:shd w:val="clear" w:color="auto" w:fill="FFFFFF"/>
          <w:lang w:val="en-US" w:eastAsia="zh-CN"/>
          <w14:textFill>
            <w14:solidFill>
              <w14:schemeClr w14:val="tx1"/>
            </w14:solidFill>
          </w14:textFill>
        </w:rPr>
        <w:t>6</w:t>
      </w:r>
      <w:r>
        <w:rPr>
          <w:rFonts w:ascii="宋体" w:hAnsi="宋体" w:eastAsia="仿宋_GB2312"/>
          <w:color w:val="000000" w:themeColor="text1"/>
          <w:sz w:val="32"/>
          <w:szCs w:val="32"/>
          <w:shd w:val="clear" w:color="auto" w:fill="FFFFFF"/>
          <w14:textFill>
            <w14:solidFill>
              <w14:schemeClr w14:val="tx1"/>
            </w14:solidFill>
          </w14:textFill>
        </w:rPr>
        <w:t>-AQ-</w:t>
      </w:r>
      <w:r>
        <w:rPr>
          <w:rFonts w:hint="eastAsia" w:ascii="宋体" w:hAnsi="宋体" w:eastAsia="仿宋_GB2312"/>
          <w:color w:val="000000" w:themeColor="text1"/>
          <w:sz w:val="32"/>
          <w:szCs w:val="32"/>
          <w:shd w:val="clear" w:color="auto" w:fill="FFFFFF"/>
          <w:lang w:val="en-US" w:eastAsia="zh-CN"/>
          <w14:textFill>
            <w14:solidFill>
              <w14:schemeClr w14:val="tx1"/>
            </w14:solidFill>
          </w14:textFill>
        </w:rPr>
        <w:t>9</w:t>
      </w:r>
      <w:r>
        <w:rPr>
          <w:rFonts w:hint="eastAsia" w:ascii="宋体" w:hAnsi="宋体" w:eastAsia="仿宋_GB2312"/>
          <w:color w:val="000000" w:themeColor="text1"/>
          <w:sz w:val="32"/>
          <w:szCs w:val="32"/>
          <w:shd w:val="clear" w:color="auto" w:fill="FFFFFF"/>
          <w14:textFill>
            <w14:solidFill>
              <w14:schemeClr w14:val="tx1"/>
            </w14:solidFill>
          </w14:textFill>
        </w:rPr>
        <w:t>，项目周期</w:t>
      </w:r>
      <w:r>
        <w:rPr>
          <w:rFonts w:hint="eastAsia" w:ascii="宋体" w:hAnsi="宋体" w:eastAsia="仿宋_GB2312"/>
          <w:color w:val="000000" w:themeColor="text1"/>
          <w:sz w:val="32"/>
          <w:szCs w:val="32"/>
          <w:shd w:val="clear" w:color="auto" w:fill="FFFFFF"/>
          <w:lang w:val="en-US" w:eastAsia="zh-CN"/>
          <w14:textFill>
            <w14:solidFill>
              <w14:schemeClr w14:val="tx1"/>
            </w14:solidFill>
          </w14:textFill>
        </w:rPr>
        <w:t>22</w:t>
      </w:r>
      <w:r>
        <w:rPr>
          <w:rFonts w:hint="eastAsia" w:ascii="宋体" w:hAnsi="宋体" w:eastAsia="仿宋_GB2312"/>
          <w:color w:val="000000" w:themeColor="text1"/>
          <w:sz w:val="32"/>
          <w:szCs w:val="32"/>
          <w:shd w:val="clear" w:color="auto" w:fill="FFFFFF"/>
          <w14:textFill>
            <w14:solidFill>
              <w14:schemeClr w14:val="tx1"/>
            </w14:solidFill>
          </w14:textFill>
        </w:rPr>
        <w:t>个月，应急管理部委托</w:t>
      </w:r>
      <w:r>
        <w:rPr>
          <w:rFonts w:ascii="宋体" w:hAnsi="宋体" w:eastAsia="仿宋_GB2312"/>
          <w:color w:val="000000" w:themeColor="text1"/>
          <w:sz w:val="32"/>
          <w:szCs w:val="32"/>
          <w:shd w:val="clear" w:color="auto" w:fill="FFFFFF"/>
          <w14:textFill>
            <w14:solidFill>
              <w14:schemeClr w14:val="tx1"/>
            </w14:solidFill>
          </w14:textFill>
        </w:rPr>
        <w:t>TC 288/SC 10</w:t>
      </w:r>
      <w:r>
        <w:rPr>
          <w:rFonts w:hint="eastAsia" w:ascii="宋体" w:hAnsi="宋体" w:eastAsia="仿宋_GB2312"/>
          <w:color w:val="000000" w:themeColor="text1"/>
          <w:sz w:val="32"/>
          <w:szCs w:val="32"/>
          <w:shd w:val="clear" w:color="auto" w:fill="FFFFFF"/>
          <w14:textFill>
            <w14:solidFill>
              <w14:schemeClr w14:val="tx1"/>
            </w14:solidFill>
          </w14:textFill>
        </w:rPr>
        <w:t>全国安全生产标准化技术委员会石油天然气开采安全分技术委员会</w:t>
      </w:r>
      <w:r>
        <w:rPr>
          <w:rFonts w:hint="eastAsia" w:ascii="宋体" w:hAnsi="宋体" w:eastAsia="仿宋_GB2312"/>
          <w:sz w:val="32"/>
          <w:szCs w:val="32"/>
          <w:shd w:val="clear" w:color="auto" w:fill="FFFFFF"/>
        </w:rPr>
        <w:t>（以下简称石油安全分标委）</w:t>
      </w:r>
      <w:r>
        <w:rPr>
          <w:rFonts w:hint="eastAsia" w:ascii="宋体" w:hAnsi="宋体" w:eastAsia="仿宋_GB2312"/>
          <w:color w:val="000000" w:themeColor="text1"/>
          <w:sz w:val="32"/>
          <w:szCs w:val="32"/>
          <w:shd w:val="clear" w:color="auto" w:fill="FFFFFF"/>
          <w14:textFill>
            <w14:solidFill>
              <w14:schemeClr w14:val="tx1"/>
            </w14:solidFill>
          </w14:textFill>
        </w:rPr>
        <w:t>组织起草和审查。</w:t>
      </w:r>
    </w:p>
    <w:p w14:paraId="739A17B8">
      <w:pPr>
        <w:spacing w:line="560" w:lineRule="exact"/>
        <w:ind w:firstLine="640" w:firstLineChars="200"/>
        <w:rPr>
          <w:rFonts w:hint="eastAsia" w:ascii="楷体" w:hAnsi="楷体" w:eastAsia="楷体"/>
          <w:sz w:val="32"/>
          <w:szCs w:val="32"/>
          <w:shd w:val="clear" w:color="auto" w:fill="FFFFFF"/>
        </w:rPr>
      </w:pPr>
      <w:r>
        <w:rPr>
          <w:rFonts w:hint="eastAsia" w:ascii="楷体" w:hAnsi="楷体" w:eastAsia="楷体"/>
          <w:sz w:val="32"/>
          <w:szCs w:val="32"/>
          <w:shd w:val="clear" w:color="auto" w:fill="FFFFFF"/>
        </w:rPr>
        <w:t>（二）制定背景</w:t>
      </w:r>
    </w:p>
    <w:p w14:paraId="07D557C3">
      <w:pPr>
        <w:spacing w:line="560" w:lineRule="exact"/>
        <w:ind w:firstLine="620" w:firstLineChars="200"/>
        <w:rPr>
          <w:rFonts w:hint="eastAsia" w:ascii="宋体" w:hAnsi="宋体" w:eastAsia="仿宋_GB2312" w:cs="仿宋_GB2312"/>
          <w:spacing w:val="-5"/>
          <w:kern w:val="0"/>
          <w:sz w:val="32"/>
          <w:szCs w:val="32"/>
          <w:lang w:val="en-US" w:eastAsia="zh-CN" w:bidi="ar-SA"/>
        </w:rPr>
      </w:pPr>
      <w:r>
        <w:rPr>
          <w:rFonts w:hint="eastAsia" w:ascii="宋体" w:hAnsi="宋体" w:eastAsia="仿宋_GB2312" w:cs="仿宋_GB2312"/>
          <w:spacing w:val="-5"/>
          <w:kern w:val="0"/>
          <w:sz w:val="32"/>
          <w:szCs w:val="32"/>
          <w:lang w:val="en-US" w:eastAsia="zh-CN" w:bidi="ar-SA"/>
        </w:rPr>
        <w:t>近年来，《安全评价检测检验机构管理办法》（应急管理部令第1号公布，应急管理部令第20号修订）、《应急管理部关于进一步加强安全评价机构监管的指导意见》（应急〔2023〕99号文）等规章及指导意见发布实施，对安全评价机构规范作业流程，提升报告质量，切实发挥安全评价对事故预防的支撑作用有了更高的要求。同时，《非煤矿矿山企业安全生产许可证实施办法》规定，安全现状评价报告是安全生产许可证申请延期的前置材料。规范安全现状评价报告，可以为监管部门快速掌握企业安全管理现状，判定企业是否真正落实安全风险管控措施，是否符合安全生产的基本要求提供支撑。</w:t>
      </w:r>
    </w:p>
    <w:p w14:paraId="47AFEC76">
      <w:pPr>
        <w:spacing w:line="560" w:lineRule="exact"/>
        <w:ind w:firstLine="620" w:firstLineChars="200"/>
        <w:rPr>
          <w:rFonts w:hint="eastAsia" w:ascii="宋体" w:hAnsi="宋体" w:eastAsia="仿宋_GB2312" w:cs="仿宋_GB2312"/>
          <w:spacing w:val="-5"/>
          <w:kern w:val="0"/>
          <w:sz w:val="32"/>
          <w:szCs w:val="32"/>
          <w:lang w:val="en-US" w:eastAsia="zh-CN" w:bidi="ar-SA"/>
        </w:rPr>
      </w:pPr>
      <w:r>
        <w:rPr>
          <w:rFonts w:hint="eastAsia" w:ascii="宋体" w:hAnsi="宋体" w:eastAsia="仿宋_GB2312" w:cs="仿宋_GB2312"/>
          <w:spacing w:val="-5"/>
          <w:kern w:val="0"/>
          <w:sz w:val="32"/>
          <w:szCs w:val="32"/>
          <w:lang w:val="en-US" w:eastAsia="zh-CN" w:bidi="ar-SA"/>
        </w:rPr>
        <w:t>目前，海洋石油天然气行业安全现状评价主要依据《安全评价通则》（AQ8001-2007）等通用性评价标准，对海洋石油天然气企业安全现状评价的指导性不足、针对性不强、约束力不够，存在安全评价机构出具的安全现状评价报告不规范、不统一，质量和水平参差不齐等问题，不能满足当前安全评价工作开展和安全监管要求。</w:t>
      </w:r>
    </w:p>
    <w:p w14:paraId="4FF6D044">
      <w:pPr>
        <w:spacing w:line="560" w:lineRule="exact"/>
        <w:ind w:firstLine="620" w:firstLineChars="200"/>
        <w:rPr>
          <w:rFonts w:hint="eastAsia" w:ascii="宋体" w:hAnsi="宋体" w:eastAsia="仿宋_GB2312" w:cs="仿宋_GB2312"/>
          <w:spacing w:val="-5"/>
          <w:kern w:val="0"/>
          <w:sz w:val="32"/>
          <w:szCs w:val="32"/>
          <w:lang w:val="en-US" w:eastAsia="zh-CN" w:bidi="ar-SA"/>
        </w:rPr>
      </w:pPr>
      <w:r>
        <w:rPr>
          <w:rFonts w:hint="eastAsia" w:ascii="宋体" w:hAnsi="宋体" w:eastAsia="仿宋_GB2312" w:cs="仿宋_GB2312"/>
          <w:spacing w:val="-5"/>
          <w:kern w:val="0"/>
          <w:sz w:val="32"/>
          <w:szCs w:val="32"/>
          <w:lang w:val="en-US" w:eastAsia="zh-CN" w:bidi="ar-SA"/>
        </w:rPr>
        <w:t>石油工业安全专业标准化技术委员会归口的《石油天然气开采企业安全现状评价技术规范》（SY/T 6778-2024），该文件属于行业内推荐性标准，对安全技术服务机构开展安全现状评价工作约束力度不够。</w:t>
      </w:r>
    </w:p>
    <w:p w14:paraId="5B7ACD54">
      <w:pPr>
        <w:spacing w:line="560" w:lineRule="exact"/>
        <w:ind w:firstLine="620" w:firstLineChars="200"/>
        <w:rPr>
          <w:rFonts w:hint="eastAsia" w:ascii="宋体" w:hAnsi="宋体" w:eastAsia="仿宋_GB2312" w:cs="仿宋_GB2312"/>
          <w:spacing w:val="-5"/>
          <w:kern w:val="0"/>
          <w:sz w:val="32"/>
          <w:szCs w:val="32"/>
          <w:lang w:val="en-US" w:eastAsia="zh-CN" w:bidi="ar-SA"/>
        </w:rPr>
      </w:pPr>
      <w:r>
        <w:rPr>
          <w:rFonts w:hint="eastAsia" w:ascii="宋体" w:hAnsi="宋体" w:eastAsia="仿宋_GB2312" w:cs="仿宋_GB2312"/>
          <w:spacing w:val="-5"/>
          <w:kern w:val="0"/>
          <w:sz w:val="32"/>
          <w:szCs w:val="32"/>
          <w:lang w:val="en-US" w:eastAsia="zh-CN" w:bidi="ar-SA"/>
        </w:rPr>
        <w:t>此标准的出台，可指导海洋石油安全评价机构按统一的标准和要求开展安全现状评价工作，更好地适应国家安全生产的新形势和新要求，促进海洋石油天然气企业提升安全管理水平；同时优化完善应急管理标准体系，统筹扩大强制性标准规模，确保标准管用好用，是对《安全评价通则》AQ8001-2007基础标准的补充和行业细化。</w:t>
      </w:r>
    </w:p>
    <w:p w14:paraId="3A0E0606">
      <w:pPr>
        <w:spacing w:line="560" w:lineRule="exact"/>
        <w:ind w:firstLine="640" w:firstLineChars="200"/>
        <w:rPr>
          <w:rFonts w:hint="eastAsia" w:ascii="楷体" w:hAnsi="楷体" w:eastAsia="楷体"/>
          <w:sz w:val="32"/>
          <w:szCs w:val="32"/>
          <w:shd w:val="clear" w:color="auto" w:fill="FFFFFF"/>
        </w:rPr>
      </w:pPr>
      <w:r>
        <w:rPr>
          <w:rFonts w:hint="eastAsia" w:ascii="楷体" w:hAnsi="楷体" w:eastAsia="楷体"/>
          <w:sz w:val="32"/>
          <w:szCs w:val="32"/>
          <w:shd w:val="clear" w:color="auto" w:fill="FFFFFF"/>
        </w:rPr>
        <w:t>（三）起草小组人员组成及所在单位</w:t>
      </w:r>
    </w:p>
    <w:p w14:paraId="3431D91A">
      <w:pPr>
        <w:spacing w:line="560" w:lineRule="exact"/>
        <w:ind w:firstLine="640" w:firstLineChars="200"/>
        <w:rPr>
          <w:rFonts w:hint="eastAsia" w:ascii="宋体" w:hAnsi="宋体" w:eastAsia="仿宋_GB2312"/>
          <w:sz w:val="32"/>
          <w:szCs w:val="32"/>
        </w:rPr>
      </w:pPr>
      <w:r>
        <w:rPr>
          <w:rFonts w:hint="eastAsia" w:ascii="宋体" w:hAnsi="宋体" w:eastAsia="仿宋_GB2312"/>
          <w:color w:val="000000" w:themeColor="text1"/>
          <w:sz w:val="32"/>
          <w:szCs w:val="32"/>
          <w:shd w:val="clear" w:color="auto" w:fill="FFFFFF"/>
          <w14:textFill>
            <w14:solidFill>
              <w14:schemeClr w14:val="tx1"/>
            </w14:solidFill>
          </w14:textFill>
        </w:rPr>
        <w:t>根据立项通知，202</w:t>
      </w:r>
      <w:r>
        <w:rPr>
          <w:rFonts w:hint="eastAsia" w:ascii="宋体" w:hAnsi="宋体" w:eastAsia="仿宋_GB2312"/>
          <w:color w:val="000000" w:themeColor="text1"/>
          <w:sz w:val="32"/>
          <w:szCs w:val="32"/>
          <w:shd w:val="clear" w:color="auto" w:fill="FFFFFF"/>
          <w:lang w:val="en-US" w:eastAsia="zh-CN"/>
          <w14:textFill>
            <w14:solidFill>
              <w14:schemeClr w14:val="tx1"/>
            </w14:solidFill>
          </w14:textFill>
        </w:rPr>
        <w:t>5</w:t>
      </w:r>
      <w:r>
        <w:rPr>
          <w:rFonts w:hint="eastAsia" w:ascii="宋体" w:hAnsi="宋体" w:eastAsia="仿宋_GB2312"/>
          <w:color w:val="000000" w:themeColor="text1"/>
          <w:sz w:val="32"/>
          <w:szCs w:val="32"/>
          <w:shd w:val="clear" w:color="auto" w:fill="FFFFFF"/>
          <w14:textFill>
            <w14:solidFill>
              <w14:schemeClr w14:val="tx1"/>
            </w14:solidFill>
          </w14:textFill>
        </w:rPr>
        <w:t>年</w:t>
      </w:r>
      <w:r>
        <w:rPr>
          <w:rFonts w:hint="eastAsia" w:ascii="宋体" w:hAnsi="宋体" w:eastAsia="仿宋_GB2312"/>
          <w:color w:val="000000" w:themeColor="text1"/>
          <w:sz w:val="32"/>
          <w:szCs w:val="32"/>
          <w:shd w:val="clear" w:color="auto" w:fill="FFFFFF"/>
          <w:lang w:val="en-US" w:eastAsia="zh-CN"/>
          <w14:textFill>
            <w14:solidFill>
              <w14:schemeClr w14:val="tx1"/>
            </w14:solidFill>
          </w14:textFill>
        </w:rPr>
        <w:t>7</w:t>
      </w:r>
      <w:r>
        <w:rPr>
          <w:rFonts w:hint="eastAsia" w:ascii="宋体" w:hAnsi="宋体" w:eastAsia="仿宋_GB2312"/>
          <w:color w:val="000000" w:themeColor="text1"/>
          <w:sz w:val="32"/>
          <w:szCs w:val="32"/>
          <w:shd w:val="clear" w:color="auto" w:fill="FFFFFF"/>
          <w14:textFill>
            <w14:solidFill>
              <w14:schemeClr w14:val="tx1"/>
            </w14:solidFill>
          </w14:textFill>
        </w:rPr>
        <w:t>月成立标准起草工作组，</w:t>
      </w:r>
      <w:r>
        <w:rPr>
          <w:rFonts w:hint="eastAsia" w:ascii="宋体" w:hAnsi="宋体" w:eastAsia="仿宋_GB2312" w:cs="仿宋_GB2312"/>
          <w:spacing w:val="-5"/>
          <w:kern w:val="0"/>
          <w:sz w:val="32"/>
          <w:szCs w:val="32"/>
          <w:highlight w:val="none"/>
          <w:lang w:val="en-US" w:eastAsia="zh-CN" w:bidi="ar-SA"/>
        </w:rPr>
        <w:t>中海油安全技术服务有限公司</w:t>
      </w:r>
      <w:r>
        <w:rPr>
          <w:rFonts w:hint="eastAsia" w:ascii="宋体" w:hAnsi="宋体" w:eastAsia="仿宋_GB2312"/>
          <w:color w:val="000000" w:themeColor="text1"/>
          <w:sz w:val="32"/>
          <w:szCs w:val="32"/>
          <w:shd w:val="clear" w:color="auto" w:fill="FFFFFF"/>
          <w14:textFill>
            <w14:solidFill>
              <w14:schemeClr w14:val="tx1"/>
            </w14:solidFill>
          </w14:textFill>
        </w:rPr>
        <w:t>牵头负责本文件的制定工作，参编单位包括</w:t>
      </w:r>
      <w:r>
        <w:rPr>
          <w:rFonts w:hint="eastAsia" w:ascii="宋体" w:hAnsi="宋体" w:eastAsia="仿宋_GB2312"/>
          <w:color w:val="000000" w:themeColor="text1"/>
          <w:sz w:val="32"/>
          <w:szCs w:val="32"/>
          <w:shd w:val="clear" w:color="auto" w:fill="FFFFFF"/>
          <w:lang w:val="en-US" w:eastAsia="zh-CN"/>
          <w14:textFill>
            <w14:solidFill>
              <w14:schemeClr w14:val="tx1"/>
            </w14:solidFill>
          </w14:textFill>
        </w:rPr>
        <w:t>中国海洋石油集团有限公司、</w:t>
      </w:r>
      <w:r>
        <w:rPr>
          <w:rFonts w:hint="eastAsia" w:ascii="宋体" w:hAnsi="宋体" w:eastAsia="仿宋_GB2312"/>
          <w:color w:val="000000" w:themeColor="text1"/>
          <w:sz w:val="32"/>
          <w:szCs w:val="32"/>
          <w:shd w:val="clear" w:color="auto" w:fill="FFFFFF"/>
          <w:lang w:eastAsia="zh-CN"/>
          <w14:textFill>
            <w14:solidFill>
              <w14:schemeClr w14:val="tx1"/>
            </w14:solidFill>
          </w14:textFill>
        </w:rPr>
        <w:t>中国石油集团安全环保技术研究院有限公司、中海油研究总院有限责任公司、中石化（山东）检测评价研究有限公司、</w:t>
      </w:r>
      <w:r>
        <w:rPr>
          <w:rFonts w:hint="eastAsia" w:ascii="宋体" w:hAnsi="宋体" w:eastAsia="仿宋_GB2312"/>
          <w:color w:val="000000" w:themeColor="text1"/>
          <w:sz w:val="32"/>
          <w:szCs w:val="32"/>
          <w:shd w:val="clear" w:color="auto" w:fill="FFFFFF"/>
          <w:lang w:val="en-US" w:eastAsia="zh-CN"/>
          <w14:textFill>
            <w14:solidFill>
              <w14:schemeClr w14:val="tx1"/>
            </w14:solidFill>
          </w14:textFill>
        </w:rPr>
        <w:t>中海石油（中国）有限公司天津分公司、</w:t>
      </w:r>
      <w:r>
        <w:rPr>
          <w:rFonts w:hint="eastAsia" w:ascii="宋体" w:hAnsi="宋体" w:eastAsia="仿宋_GB2312"/>
          <w:color w:val="000000" w:themeColor="text1"/>
          <w:sz w:val="32"/>
          <w:szCs w:val="32"/>
          <w:shd w:val="clear" w:color="auto" w:fill="FFFFFF"/>
          <w:lang w:eastAsia="zh-CN"/>
          <w14:textFill>
            <w14:solidFill>
              <w14:schemeClr w14:val="tx1"/>
            </w14:solidFill>
          </w14:textFill>
        </w:rPr>
        <w:t>国家石油天然气管网集团有限公司科学技术研究总院分公司</w:t>
      </w:r>
      <w:r>
        <w:rPr>
          <w:rFonts w:hint="eastAsia" w:ascii="宋体" w:hAnsi="宋体" w:eastAsia="仿宋_GB2312"/>
          <w:color w:val="000000" w:themeColor="text1"/>
          <w:sz w:val="32"/>
          <w:szCs w:val="32"/>
          <w:shd w:val="clear" w:color="auto" w:fill="FFFFFF"/>
          <w14:textFill>
            <w14:solidFill>
              <w14:schemeClr w14:val="tx1"/>
            </w14:solidFill>
          </w14:textFill>
        </w:rPr>
        <w:t>。</w:t>
      </w:r>
      <w:r>
        <w:rPr>
          <w:rFonts w:hint="eastAsia" w:ascii="宋体" w:hAnsi="宋体" w:eastAsia="仿宋_GB2312"/>
          <w:sz w:val="32"/>
          <w:szCs w:val="32"/>
        </w:rPr>
        <w:t>本文件主要起草人员及分工见表1。</w:t>
      </w:r>
    </w:p>
    <w:p w14:paraId="603CE243">
      <w:pPr>
        <w:pStyle w:val="164"/>
        <w:spacing w:before="120" w:after="120"/>
        <w:rPr>
          <w:highlight w:val="none"/>
        </w:rPr>
      </w:pPr>
      <w:r>
        <w:rPr>
          <w:rFonts w:hint="eastAsia"/>
          <w:highlight w:val="none"/>
        </w:rPr>
        <w:t>主要起草人员及分工表</w:t>
      </w:r>
    </w:p>
    <w:tbl>
      <w:tblPr>
        <w:tblStyle w:val="37"/>
        <w:tblW w:w="858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683"/>
        <w:gridCol w:w="1178"/>
        <w:gridCol w:w="3500"/>
        <w:gridCol w:w="3221"/>
      </w:tblGrid>
      <w:tr w14:paraId="1CC486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31" w:hRule="atLeast"/>
          <w:tblHeader/>
          <w:jc w:val="center"/>
        </w:trPr>
        <w:tc>
          <w:tcPr>
            <w:tcW w:w="683" w:type="dxa"/>
            <w:tcBorders>
              <w:top w:val="single" w:color="auto" w:sz="8" w:space="0"/>
              <w:bottom w:val="single" w:color="auto" w:sz="8" w:space="0"/>
            </w:tcBorders>
            <w:vAlign w:val="center"/>
          </w:tcPr>
          <w:p w14:paraId="7A3F407E">
            <w:pPr>
              <w:spacing w:line="240" w:lineRule="auto"/>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序号</w:t>
            </w:r>
          </w:p>
        </w:tc>
        <w:tc>
          <w:tcPr>
            <w:tcW w:w="1178" w:type="dxa"/>
            <w:tcBorders>
              <w:top w:val="single" w:color="auto" w:sz="8" w:space="0"/>
              <w:bottom w:val="single" w:color="auto" w:sz="8" w:space="0"/>
            </w:tcBorders>
            <w:vAlign w:val="center"/>
          </w:tcPr>
          <w:p w14:paraId="70726FD3">
            <w:pPr>
              <w:spacing w:line="240" w:lineRule="auto"/>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起草人姓名</w:t>
            </w:r>
          </w:p>
        </w:tc>
        <w:tc>
          <w:tcPr>
            <w:tcW w:w="3500" w:type="dxa"/>
            <w:tcBorders>
              <w:top w:val="single" w:color="auto" w:sz="8" w:space="0"/>
              <w:bottom w:val="single" w:color="auto" w:sz="8" w:space="0"/>
            </w:tcBorders>
            <w:vAlign w:val="center"/>
          </w:tcPr>
          <w:p w14:paraId="13CDB71B">
            <w:pPr>
              <w:spacing w:line="240" w:lineRule="auto"/>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所在单位</w:t>
            </w:r>
          </w:p>
        </w:tc>
        <w:tc>
          <w:tcPr>
            <w:tcW w:w="3221" w:type="dxa"/>
            <w:tcBorders>
              <w:top w:val="single" w:color="auto" w:sz="8" w:space="0"/>
              <w:bottom w:val="single" w:color="auto" w:sz="8" w:space="0"/>
            </w:tcBorders>
            <w:vAlign w:val="center"/>
          </w:tcPr>
          <w:p w14:paraId="606A1004">
            <w:pPr>
              <w:spacing w:line="240" w:lineRule="auto"/>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工作分工</w:t>
            </w:r>
          </w:p>
        </w:tc>
      </w:tr>
      <w:tr w14:paraId="7B61B1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71" w:hRule="atLeast"/>
          <w:jc w:val="center"/>
        </w:trPr>
        <w:tc>
          <w:tcPr>
            <w:tcW w:w="683" w:type="dxa"/>
            <w:tcBorders>
              <w:top w:val="single" w:color="auto" w:sz="8" w:space="0"/>
            </w:tcBorders>
            <w:vAlign w:val="center"/>
          </w:tcPr>
          <w:p w14:paraId="5AA78B66">
            <w:pPr>
              <w:spacing w:line="240" w:lineRule="auto"/>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1</w:t>
            </w:r>
          </w:p>
        </w:tc>
        <w:tc>
          <w:tcPr>
            <w:tcW w:w="1178" w:type="dxa"/>
            <w:tcBorders>
              <w:top w:val="single" w:color="auto" w:sz="8" w:space="0"/>
            </w:tcBorders>
            <w:vAlign w:val="center"/>
          </w:tcPr>
          <w:p w14:paraId="5B108F19">
            <w:pPr>
              <w:jc w:val="center"/>
              <w:rPr>
                <w:rFonts w:hint="eastAsia" w:ascii="仿宋_GB2312" w:hAnsi="仿宋_GB2312" w:eastAsia="仿宋_GB2312" w:cs="仿宋_GB2312"/>
                <w:shd w:val="clear" w:color="auto" w:fill="FFFFFF"/>
                <w:lang w:eastAsia="zh-CN"/>
              </w:rPr>
            </w:pPr>
            <w:r>
              <w:rPr>
                <w:rFonts w:hint="eastAsia" w:ascii="仿宋_GB2312" w:hAnsi="仿宋_GB2312" w:eastAsia="仿宋_GB2312" w:cs="仿宋_GB2312"/>
                <w:szCs w:val="21"/>
                <w:shd w:val="clear" w:color="auto" w:fill="FFFFFF"/>
                <w:lang w:val="en-US" w:eastAsia="zh-CN"/>
              </w:rPr>
              <w:t>申得济</w:t>
            </w:r>
          </w:p>
        </w:tc>
        <w:tc>
          <w:tcPr>
            <w:tcW w:w="3500" w:type="dxa"/>
            <w:tcBorders>
              <w:top w:val="single" w:color="auto" w:sz="8" w:space="0"/>
            </w:tcBorders>
            <w:vAlign w:val="center"/>
          </w:tcPr>
          <w:p w14:paraId="7C36B045">
            <w:pPr>
              <w:jc w:val="center"/>
              <w:rPr>
                <w:rFonts w:hint="default" w:ascii="仿宋_GB2312" w:hAnsi="仿宋_GB2312" w:eastAsia="仿宋_GB2312" w:cs="仿宋_GB2312"/>
                <w:shd w:val="clear" w:color="auto" w:fill="FFFFFF"/>
                <w:lang w:val="en-US" w:eastAsia="zh-CN"/>
              </w:rPr>
            </w:pPr>
            <w:r>
              <w:rPr>
                <w:rFonts w:hint="eastAsia" w:ascii="仿宋_GB2312" w:hAnsi="仿宋_GB2312" w:eastAsia="仿宋_GB2312" w:cs="仿宋_GB2312"/>
                <w:szCs w:val="21"/>
                <w:shd w:val="clear" w:color="auto" w:fill="FFFFFF"/>
                <w:lang w:val="en-US" w:eastAsia="zh-CN"/>
              </w:rPr>
              <w:t>中海油安全技术服务有限公司</w:t>
            </w:r>
          </w:p>
        </w:tc>
        <w:tc>
          <w:tcPr>
            <w:tcW w:w="3221" w:type="dxa"/>
            <w:tcBorders>
              <w:top w:val="single" w:color="auto" w:sz="8" w:space="0"/>
            </w:tcBorders>
            <w:vAlign w:val="center"/>
          </w:tcPr>
          <w:p w14:paraId="7940854B">
            <w:pPr>
              <w:jc w:val="center"/>
              <w:rPr>
                <w:rFonts w:hint="eastAsia" w:ascii="仿宋_GB2312" w:hAnsi="仿宋_GB2312" w:eastAsia="仿宋_GB2312" w:cs="仿宋_GB2312"/>
                <w:shd w:val="clear" w:color="auto" w:fill="FFFFFF"/>
                <w:lang w:eastAsia="zh-CN"/>
              </w:rPr>
            </w:pPr>
            <w:r>
              <w:rPr>
                <w:rFonts w:hint="eastAsia" w:ascii="仿宋_GB2312" w:hAnsi="仿宋_GB2312" w:eastAsia="仿宋_GB2312" w:cs="仿宋_GB2312"/>
                <w:shd w:val="clear" w:color="auto" w:fill="FFFFFF"/>
              </w:rPr>
              <w:t>项目主持、</w:t>
            </w:r>
            <w:r>
              <w:rPr>
                <w:rFonts w:hint="eastAsia" w:ascii="仿宋_GB2312" w:hAnsi="仿宋_GB2312" w:eastAsia="仿宋_GB2312" w:cs="仿宋_GB2312"/>
                <w:shd w:val="clear" w:color="auto" w:fill="FFFFFF"/>
                <w:lang w:val="en-US" w:eastAsia="zh-CN"/>
              </w:rPr>
              <w:t>技术把关</w:t>
            </w:r>
          </w:p>
        </w:tc>
      </w:tr>
      <w:tr w14:paraId="1899BA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83" w:type="dxa"/>
            <w:vAlign w:val="center"/>
          </w:tcPr>
          <w:p w14:paraId="2ADD8F6F">
            <w:pPr>
              <w:spacing w:line="240" w:lineRule="auto"/>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2</w:t>
            </w:r>
          </w:p>
        </w:tc>
        <w:tc>
          <w:tcPr>
            <w:tcW w:w="1178" w:type="dxa"/>
            <w:vAlign w:val="center"/>
          </w:tcPr>
          <w:p w14:paraId="4AA94EA0">
            <w:pPr>
              <w:jc w:val="center"/>
              <w:rPr>
                <w:rFonts w:hint="eastAsia" w:ascii="仿宋_GB2312" w:hAnsi="仿宋_GB2312" w:eastAsia="仿宋_GB2312" w:cs="仿宋_GB2312"/>
                <w:shd w:val="clear" w:color="auto" w:fill="FFFFFF"/>
                <w:lang w:eastAsia="zh-CN"/>
              </w:rPr>
            </w:pPr>
            <w:r>
              <w:rPr>
                <w:rFonts w:hint="eastAsia" w:ascii="仿宋_GB2312" w:hAnsi="仿宋_GB2312" w:eastAsia="仿宋_GB2312" w:cs="仿宋_GB2312"/>
                <w:szCs w:val="21"/>
                <w:shd w:val="clear" w:color="auto" w:fill="FFFFFF"/>
                <w:lang w:val="en-US" w:eastAsia="zh-CN"/>
              </w:rPr>
              <w:t>叶海春</w:t>
            </w:r>
          </w:p>
        </w:tc>
        <w:tc>
          <w:tcPr>
            <w:tcW w:w="3500" w:type="dxa"/>
            <w:vAlign w:val="center"/>
          </w:tcPr>
          <w:p w14:paraId="4159877A">
            <w:pPr>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zCs w:val="21"/>
                <w:shd w:val="clear" w:color="auto" w:fill="FFFFFF"/>
                <w:lang w:val="en-US" w:eastAsia="zh-CN"/>
              </w:rPr>
              <w:t>中海油安全技术服务有限公司</w:t>
            </w:r>
          </w:p>
        </w:tc>
        <w:tc>
          <w:tcPr>
            <w:tcW w:w="3221" w:type="dxa"/>
            <w:vAlign w:val="center"/>
          </w:tcPr>
          <w:p w14:paraId="3D6F996C">
            <w:pPr>
              <w:jc w:val="center"/>
              <w:rPr>
                <w:rFonts w:hint="eastAsia" w:ascii="仿宋_GB2312" w:hAnsi="仿宋_GB2312" w:eastAsia="仿宋_GB2312" w:cs="仿宋_GB2312"/>
                <w:shd w:val="clear" w:color="auto" w:fill="FFFFFF"/>
                <w:lang w:val="en-US" w:eastAsia="zh-CN"/>
              </w:rPr>
            </w:pPr>
            <w:r>
              <w:rPr>
                <w:rFonts w:hint="eastAsia" w:ascii="仿宋_GB2312" w:hAnsi="仿宋_GB2312" w:eastAsia="仿宋_GB2312" w:cs="仿宋_GB2312"/>
                <w:shd w:val="clear" w:color="auto" w:fill="FFFFFF"/>
                <w:lang w:val="en-US" w:eastAsia="zh-CN"/>
              </w:rPr>
              <w:t>项目组织协调、标准统稿和管理</w:t>
            </w:r>
          </w:p>
        </w:tc>
      </w:tr>
      <w:tr w14:paraId="010652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83" w:type="dxa"/>
            <w:vAlign w:val="center"/>
          </w:tcPr>
          <w:p w14:paraId="4FE3FE18">
            <w:pPr>
              <w:spacing w:line="240" w:lineRule="auto"/>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3</w:t>
            </w:r>
          </w:p>
        </w:tc>
        <w:tc>
          <w:tcPr>
            <w:tcW w:w="1178" w:type="dxa"/>
            <w:vAlign w:val="center"/>
          </w:tcPr>
          <w:p w14:paraId="4BFE2DCE">
            <w:pPr>
              <w:jc w:val="center"/>
              <w:rPr>
                <w:rFonts w:hint="eastAsia" w:ascii="仿宋_GB2312" w:hAnsi="仿宋_GB2312" w:eastAsia="仿宋_GB2312" w:cs="仿宋_GB2312"/>
                <w:shd w:val="clear" w:color="auto" w:fill="FFFFFF"/>
                <w:lang w:eastAsia="zh-CN"/>
              </w:rPr>
            </w:pPr>
            <w:r>
              <w:rPr>
                <w:rFonts w:hint="eastAsia" w:ascii="仿宋_GB2312" w:hAnsi="仿宋_GB2312" w:eastAsia="仿宋_GB2312" w:cs="仿宋_GB2312"/>
                <w:szCs w:val="21"/>
                <w:shd w:val="clear" w:color="auto" w:fill="FFFFFF"/>
                <w:lang w:val="en-US" w:eastAsia="zh-CN"/>
              </w:rPr>
              <w:t>宋志强</w:t>
            </w:r>
          </w:p>
        </w:tc>
        <w:tc>
          <w:tcPr>
            <w:tcW w:w="3500" w:type="dxa"/>
            <w:vAlign w:val="center"/>
          </w:tcPr>
          <w:p w14:paraId="54C995A4">
            <w:pPr>
              <w:jc w:val="center"/>
              <w:rPr>
                <w:rFonts w:hint="default" w:ascii="仿宋_GB2312" w:hAnsi="仿宋_GB2312" w:eastAsia="仿宋_GB2312" w:cs="仿宋_GB2312"/>
                <w:shd w:val="clear" w:color="auto" w:fill="FFFFFF"/>
                <w:lang w:val="en-US" w:eastAsia="zh-CN"/>
              </w:rPr>
            </w:pPr>
            <w:r>
              <w:rPr>
                <w:rFonts w:hint="eastAsia" w:ascii="仿宋_GB2312" w:hAnsi="仿宋_GB2312" w:eastAsia="仿宋_GB2312" w:cs="仿宋_GB2312"/>
                <w:szCs w:val="21"/>
                <w:shd w:val="clear" w:color="auto" w:fill="FFFFFF"/>
                <w:lang w:val="en-US" w:eastAsia="zh-CN"/>
              </w:rPr>
              <w:t>中海油安全技术服务有限公司</w:t>
            </w:r>
          </w:p>
        </w:tc>
        <w:tc>
          <w:tcPr>
            <w:tcW w:w="3221" w:type="dxa"/>
            <w:vAlign w:val="center"/>
          </w:tcPr>
          <w:p w14:paraId="35CD8CAA">
            <w:pPr>
              <w:spacing w:line="240" w:lineRule="auto"/>
              <w:jc w:val="center"/>
              <w:rPr>
                <w:rFonts w:hint="default" w:ascii="仿宋_GB2312" w:hAnsi="仿宋_GB2312" w:eastAsia="仿宋_GB2312" w:cs="仿宋_GB2312"/>
                <w:shd w:val="clear" w:color="auto" w:fill="FFFFFF"/>
                <w:lang w:val="en-US" w:eastAsia="zh-CN"/>
              </w:rPr>
            </w:pPr>
            <w:r>
              <w:rPr>
                <w:rFonts w:hint="eastAsia" w:ascii="仿宋_GB2312" w:hAnsi="仿宋_GB2312" w:eastAsia="仿宋_GB2312" w:cs="仿宋_GB2312"/>
                <w:shd w:val="clear" w:color="auto" w:fill="FFFFFF"/>
                <w:lang w:val="en-US" w:eastAsia="zh-CN"/>
              </w:rPr>
              <w:t>编制标准正文、技术把关</w:t>
            </w:r>
          </w:p>
        </w:tc>
      </w:tr>
      <w:tr w14:paraId="71B850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83" w:type="dxa"/>
            <w:vAlign w:val="center"/>
          </w:tcPr>
          <w:p w14:paraId="29E5FD55">
            <w:pPr>
              <w:spacing w:line="240" w:lineRule="auto"/>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4</w:t>
            </w:r>
          </w:p>
        </w:tc>
        <w:tc>
          <w:tcPr>
            <w:tcW w:w="1178" w:type="dxa"/>
            <w:vAlign w:val="center"/>
          </w:tcPr>
          <w:p w14:paraId="42EB6D8F">
            <w:pPr>
              <w:jc w:val="center"/>
              <w:rPr>
                <w:rFonts w:hint="default" w:ascii="仿宋_GB2312" w:hAnsi="仿宋_GB2312" w:eastAsia="仿宋_GB2312" w:cs="仿宋_GB2312"/>
                <w:shd w:val="clear" w:color="auto" w:fill="FFFFFF"/>
                <w:lang w:val="en-US" w:eastAsia="zh-CN"/>
              </w:rPr>
            </w:pPr>
            <w:r>
              <w:rPr>
                <w:rFonts w:hint="eastAsia" w:ascii="仿宋_GB2312" w:hAnsi="仿宋_GB2312" w:eastAsia="仿宋_GB2312" w:cs="仿宋_GB2312"/>
                <w:szCs w:val="21"/>
                <w:shd w:val="clear" w:color="auto" w:fill="FFFFFF"/>
                <w:lang w:val="en-US" w:eastAsia="zh-CN"/>
              </w:rPr>
              <w:t>类淑菊</w:t>
            </w:r>
          </w:p>
        </w:tc>
        <w:tc>
          <w:tcPr>
            <w:tcW w:w="3500" w:type="dxa"/>
            <w:vAlign w:val="center"/>
          </w:tcPr>
          <w:p w14:paraId="56B7CFF4">
            <w:pPr>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zCs w:val="21"/>
                <w:shd w:val="clear" w:color="auto" w:fill="FFFFFF"/>
                <w:lang w:val="en-US" w:eastAsia="zh-CN"/>
              </w:rPr>
              <w:t>中海油安全技术服务有限公司</w:t>
            </w:r>
          </w:p>
        </w:tc>
        <w:tc>
          <w:tcPr>
            <w:tcW w:w="3221" w:type="dxa"/>
            <w:vAlign w:val="center"/>
          </w:tcPr>
          <w:p w14:paraId="679BD473">
            <w:pPr>
              <w:spacing w:line="240" w:lineRule="auto"/>
              <w:jc w:val="center"/>
              <w:rPr>
                <w:rFonts w:hint="default" w:ascii="仿宋_GB2312" w:hAnsi="仿宋_GB2312" w:eastAsia="仿宋_GB2312" w:cs="仿宋_GB2312"/>
                <w:shd w:val="clear" w:color="auto" w:fill="FFFFFF"/>
                <w:lang w:val="en-US" w:eastAsia="zh-CN"/>
              </w:rPr>
            </w:pPr>
            <w:r>
              <w:rPr>
                <w:rFonts w:hint="eastAsia" w:ascii="仿宋_GB2312" w:hAnsi="仿宋_GB2312" w:eastAsia="仿宋_GB2312" w:cs="仿宋_GB2312"/>
                <w:shd w:val="clear" w:color="auto" w:fill="FFFFFF"/>
                <w:lang w:val="en-US" w:eastAsia="zh-CN"/>
              </w:rPr>
              <w:t>编制标准正文及标准征求意见汇总等</w:t>
            </w:r>
          </w:p>
        </w:tc>
      </w:tr>
      <w:tr w14:paraId="096AA6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83" w:type="dxa"/>
            <w:vAlign w:val="center"/>
          </w:tcPr>
          <w:p w14:paraId="260A1A08">
            <w:pPr>
              <w:spacing w:line="240" w:lineRule="auto"/>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5</w:t>
            </w:r>
          </w:p>
        </w:tc>
        <w:tc>
          <w:tcPr>
            <w:tcW w:w="1178" w:type="dxa"/>
            <w:vAlign w:val="center"/>
          </w:tcPr>
          <w:p w14:paraId="416AA056">
            <w:pPr>
              <w:jc w:val="center"/>
              <w:rPr>
                <w:rFonts w:hint="eastAsia" w:ascii="仿宋_GB2312" w:hAnsi="仿宋_GB2312" w:eastAsia="仿宋_GB2312" w:cs="仿宋_GB2312"/>
                <w:shd w:val="clear" w:color="auto" w:fill="FFFFFF"/>
                <w:lang w:eastAsia="zh-CN"/>
              </w:rPr>
            </w:pPr>
            <w:r>
              <w:rPr>
                <w:rFonts w:hint="eastAsia" w:ascii="仿宋_GB2312" w:hAnsi="仿宋_GB2312" w:eastAsia="仿宋_GB2312" w:cs="仿宋_GB2312"/>
                <w:szCs w:val="21"/>
                <w:shd w:val="clear" w:color="auto" w:fill="FFFFFF"/>
                <w:lang w:val="en-US" w:eastAsia="zh-CN"/>
              </w:rPr>
              <w:t>王同宇</w:t>
            </w:r>
          </w:p>
        </w:tc>
        <w:tc>
          <w:tcPr>
            <w:tcW w:w="3500" w:type="dxa"/>
            <w:vAlign w:val="center"/>
          </w:tcPr>
          <w:p w14:paraId="22027EF0">
            <w:pPr>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zCs w:val="21"/>
                <w:shd w:val="clear" w:color="auto" w:fill="FFFFFF"/>
                <w:lang w:val="en-US" w:eastAsia="zh-CN"/>
              </w:rPr>
              <w:t>中海油安全技术服务有限公司</w:t>
            </w:r>
          </w:p>
        </w:tc>
        <w:tc>
          <w:tcPr>
            <w:tcW w:w="3221" w:type="dxa"/>
            <w:vAlign w:val="center"/>
          </w:tcPr>
          <w:p w14:paraId="7F1B6268">
            <w:pPr>
              <w:jc w:val="center"/>
              <w:rPr>
                <w:rFonts w:hint="default" w:ascii="仿宋_GB2312" w:hAnsi="仿宋_GB2312" w:eastAsia="仿宋_GB2312" w:cs="仿宋_GB2312"/>
                <w:shd w:val="clear" w:color="auto" w:fill="FFFFFF"/>
                <w:lang w:val="en-US" w:eastAsia="zh-CN"/>
              </w:rPr>
            </w:pPr>
            <w:r>
              <w:rPr>
                <w:rFonts w:hint="eastAsia" w:ascii="仿宋_GB2312" w:hAnsi="仿宋_GB2312" w:eastAsia="仿宋_GB2312" w:cs="仿宋_GB2312"/>
                <w:shd w:val="clear" w:color="auto" w:fill="FFFFFF"/>
                <w:lang w:val="en-US" w:eastAsia="zh-CN"/>
              </w:rPr>
              <w:t>设备设施、生产作业评价单元内容审核</w:t>
            </w:r>
          </w:p>
        </w:tc>
      </w:tr>
      <w:tr w14:paraId="69290B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83" w:type="dxa"/>
            <w:vAlign w:val="center"/>
          </w:tcPr>
          <w:p w14:paraId="282024EE">
            <w:pPr>
              <w:spacing w:line="240" w:lineRule="auto"/>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6</w:t>
            </w:r>
          </w:p>
        </w:tc>
        <w:tc>
          <w:tcPr>
            <w:tcW w:w="1178" w:type="dxa"/>
            <w:vAlign w:val="center"/>
          </w:tcPr>
          <w:p w14:paraId="17E06A51">
            <w:pPr>
              <w:jc w:val="center"/>
              <w:rPr>
                <w:rFonts w:hint="eastAsia" w:ascii="仿宋_GB2312" w:hAnsi="仿宋_GB2312" w:eastAsia="仿宋_GB2312" w:cs="仿宋_GB2312"/>
                <w:shd w:val="clear" w:color="auto" w:fill="FFFFFF"/>
                <w:lang w:eastAsia="zh-CN"/>
              </w:rPr>
            </w:pPr>
            <w:r>
              <w:rPr>
                <w:rFonts w:hint="eastAsia" w:ascii="仿宋_GB2312" w:hAnsi="仿宋_GB2312" w:eastAsia="仿宋_GB2312" w:cs="仿宋_GB2312"/>
                <w:szCs w:val="21"/>
                <w:shd w:val="clear" w:color="auto" w:fill="FFFFFF"/>
                <w:lang w:val="en-US" w:eastAsia="zh-CN"/>
              </w:rPr>
              <w:t>赵宁</w:t>
            </w:r>
          </w:p>
        </w:tc>
        <w:tc>
          <w:tcPr>
            <w:tcW w:w="3500" w:type="dxa"/>
            <w:vAlign w:val="center"/>
          </w:tcPr>
          <w:p w14:paraId="24AB8251">
            <w:pPr>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zCs w:val="21"/>
                <w:shd w:val="clear" w:color="auto" w:fill="FFFFFF"/>
                <w:lang w:val="en-US" w:eastAsia="zh-CN"/>
              </w:rPr>
              <w:t>中海油安全技术服务有限公司</w:t>
            </w:r>
          </w:p>
        </w:tc>
        <w:tc>
          <w:tcPr>
            <w:tcW w:w="3221" w:type="dxa"/>
            <w:vAlign w:val="center"/>
          </w:tcPr>
          <w:p w14:paraId="5DCD8259">
            <w:pPr>
              <w:jc w:val="center"/>
              <w:rPr>
                <w:rFonts w:hint="default" w:ascii="仿宋_GB2312" w:hAnsi="仿宋_GB2312" w:eastAsia="仿宋_GB2312" w:cs="仿宋_GB2312"/>
                <w:shd w:val="clear" w:color="auto" w:fill="FFFFFF"/>
                <w:lang w:val="en-US" w:eastAsia="zh-CN"/>
              </w:rPr>
            </w:pPr>
            <w:r>
              <w:rPr>
                <w:rFonts w:hint="eastAsia" w:ascii="仿宋_GB2312" w:hAnsi="仿宋_GB2312" w:eastAsia="仿宋_GB2312" w:cs="仿宋_GB2312"/>
                <w:shd w:val="clear" w:color="auto" w:fill="FFFFFF"/>
                <w:lang w:val="en-US" w:eastAsia="zh-CN"/>
              </w:rPr>
              <w:t>参与前期调研及标准大纲的编制</w:t>
            </w:r>
          </w:p>
        </w:tc>
      </w:tr>
      <w:tr w14:paraId="177E59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83" w:type="dxa"/>
            <w:vAlign w:val="center"/>
          </w:tcPr>
          <w:p w14:paraId="76AA68D8">
            <w:pPr>
              <w:spacing w:line="240" w:lineRule="auto"/>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7</w:t>
            </w:r>
          </w:p>
        </w:tc>
        <w:tc>
          <w:tcPr>
            <w:tcW w:w="1178" w:type="dxa"/>
            <w:vAlign w:val="center"/>
          </w:tcPr>
          <w:p w14:paraId="25FECAC2">
            <w:pPr>
              <w:spacing w:line="240" w:lineRule="auto"/>
              <w:jc w:val="center"/>
              <w:rPr>
                <w:rFonts w:hint="eastAsia" w:ascii="仿宋_GB2312" w:hAnsi="仿宋_GB2312" w:eastAsia="仿宋_GB2312" w:cs="仿宋_GB2312"/>
                <w:shd w:val="clear" w:color="auto" w:fill="FFFFFF"/>
                <w:lang w:eastAsia="zh-CN"/>
              </w:rPr>
            </w:pPr>
            <w:r>
              <w:rPr>
                <w:rFonts w:hint="eastAsia" w:ascii="仿宋_GB2312" w:hAnsi="仿宋_GB2312" w:eastAsia="仿宋_GB2312" w:cs="仿宋_GB2312"/>
                <w:szCs w:val="21"/>
                <w:shd w:val="clear" w:color="auto" w:fill="FFFFFF"/>
                <w:lang w:val="en-US" w:eastAsia="zh-CN"/>
              </w:rPr>
              <w:t>胡军</w:t>
            </w:r>
          </w:p>
        </w:tc>
        <w:tc>
          <w:tcPr>
            <w:tcW w:w="3500" w:type="dxa"/>
            <w:vAlign w:val="center"/>
          </w:tcPr>
          <w:p w14:paraId="7BB50D33">
            <w:pPr>
              <w:spacing w:line="240" w:lineRule="auto"/>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zCs w:val="21"/>
                <w:shd w:val="clear" w:color="auto" w:fill="FFFFFF"/>
                <w:lang w:val="en-US" w:eastAsia="zh-CN"/>
              </w:rPr>
              <w:t>中海油安全技术服务有限公司</w:t>
            </w:r>
          </w:p>
        </w:tc>
        <w:tc>
          <w:tcPr>
            <w:tcW w:w="3221" w:type="dxa"/>
            <w:vAlign w:val="center"/>
          </w:tcPr>
          <w:p w14:paraId="123DA9BD">
            <w:pPr>
              <w:spacing w:line="240" w:lineRule="auto"/>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hd w:val="clear" w:color="auto" w:fill="FFFFFF"/>
                <w:lang w:val="en-US" w:eastAsia="zh-CN"/>
              </w:rPr>
              <w:t>参与前期调研及标准大纲的编制</w:t>
            </w:r>
          </w:p>
        </w:tc>
      </w:tr>
      <w:tr w14:paraId="01D2C8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83" w:type="dxa"/>
            <w:vAlign w:val="center"/>
          </w:tcPr>
          <w:p w14:paraId="1D491CDA">
            <w:pPr>
              <w:spacing w:line="240" w:lineRule="auto"/>
              <w:jc w:val="center"/>
              <w:rPr>
                <w:rFonts w:hint="eastAsia" w:ascii="仿宋_GB2312" w:hAnsi="仿宋_GB2312" w:eastAsia="仿宋_GB2312" w:cs="仿宋_GB2312"/>
                <w:shd w:val="clear" w:color="auto" w:fill="FFFFFF"/>
                <w:lang w:eastAsia="zh-CN"/>
              </w:rPr>
            </w:pPr>
            <w:r>
              <w:rPr>
                <w:rFonts w:hint="eastAsia" w:ascii="仿宋_GB2312" w:hAnsi="仿宋_GB2312" w:eastAsia="仿宋_GB2312" w:cs="仿宋_GB2312"/>
                <w:shd w:val="clear" w:color="auto" w:fill="FFFFFF"/>
                <w:lang w:val="en-US" w:eastAsia="zh-CN"/>
              </w:rPr>
              <w:t>8</w:t>
            </w:r>
          </w:p>
        </w:tc>
        <w:tc>
          <w:tcPr>
            <w:tcW w:w="1178" w:type="dxa"/>
            <w:vAlign w:val="center"/>
          </w:tcPr>
          <w:p w14:paraId="60519033">
            <w:pPr>
              <w:jc w:val="center"/>
              <w:rPr>
                <w:rFonts w:hint="eastAsia" w:ascii="仿宋_GB2312" w:hAnsi="仿宋_GB2312" w:eastAsia="仿宋_GB2312" w:cs="仿宋_GB2312"/>
                <w:shd w:val="clear" w:color="auto" w:fill="FFFFFF"/>
                <w:lang w:val="en-US" w:eastAsia="zh-CN"/>
              </w:rPr>
            </w:pPr>
            <w:r>
              <w:rPr>
                <w:rFonts w:hint="eastAsia" w:ascii="仿宋_GB2312" w:hAnsi="仿宋_GB2312" w:eastAsia="仿宋_GB2312" w:cs="仿宋_GB2312"/>
                <w:szCs w:val="21"/>
                <w:shd w:val="clear" w:color="auto" w:fill="FFFFFF"/>
                <w:lang w:val="en-US" w:eastAsia="zh-CN"/>
              </w:rPr>
              <w:t>郝静敏</w:t>
            </w:r>
          </w:p>
        </w:tc>
        <w:tc>
          <w:tcPr>
            <w:tcW w:w="3500" w:type="dxa"/>
            <w:vAlign w:val="center"/>
          </w:tcPr>
          <w:p w14:paraId="0CEBA332">
            <w:pPr>
              <w:jc w:val="center"/>
              <w:rPr>
                <w:rFonts w:hint="default" w:ascii="仿宋_GB2312" w:hAnsi="仿宋_GB2312" w:eastAsia="仿宋_GB2312" w:cs="仿宋_GB2312"/>
                <w:shd w:val="clear" w:color="auto" w:fill="FFFFFF"/>
                <w:lang w:val="en-US" w:eastAsia="zh-CN"/>
              </w:rPr>
            </w:pPr>
            <w:r>
              <w:rPr>
                <w:rFonts w:hint="default" w:ascii="仿宋_GB2312" w:hAnsi="仿宋_GB2312" w:eastAsia="仿宋_GB2312" w:cs="仿宋_GB2312"/>
                <w:szCs w:val="21"/>
                <w:shd w:val="clear" w:color="auto" w:fill="FFFFFF"/>
                <w:lang w:val="en-US" w:eastAsia="zh-CN"/>
              </w:rPr>
              <w:t>中海油研究总院有限责任公司</w:t>
            </w:r>
          </w:p>
        </w:tc>
        <w:tc>
          <w:tcPr>
            <w:tcW w:w="3221" w:type="dxa"/>
            <w:vAlign w:val="center"/>
          </w:tcPr>
          <w:p w14:paraId="2F7C5146">
            <w:pPr>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法律法规、部门规章与标准的协调性检查把关</w:t>
            </w:r>
          </w:p>
        </w:tc>
      </w:tr>
      <w:tr w14:paraId="0B8AFF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83" w:type="dxa"/>
            <w:vAlign w:val="center"/>
          </w:tcPr>
          <w:p w14:paraId="7BD7640E">
            <w:pPr>
              <w:spacing w:line="240" w:lineRule="auto"/>
              <w:jc w:val="center"/>
              <w:rPr>
                <w:rFonts w:hint="eastAsia" w:ascii="仿宋_GB2312" w:hAnsi="仿宋_GB2312" w:eastAsia="仿宋_GB2312" w:cs="仿宋_GB2312"/>
                <w:shd w:val="clear" w:color="auto" w:fill="FFFFFF"/>
                <w:lang w:eastAsia="zh-CN"/>
              </w:rPr>
            </w:pPr>
            <w:r>
              <w:rPr>
                <w:rFonts w:hint="eastAsia" w:ascii="仿宋_GB2312" w:hAnsi="仿宋_GB2312" w:eastAsia="仿宋_GB2312" w:cs="仿宋_GB2312"/>
                <w:shd w:val="clear" w:color="auto" w:fill="FFFFFF"/>
                <w:lang w:val="en-US" w:eastAsia="zh-CN"/>
              </w:rPr>
              <w:t>9</w:t>
            </w:r>
          </w:p>
        </w:tc>
        <w:tc>
          <w:tcPr>
            <w:tcW w:w="1178" w:type="dxa"/>
            <w:vAlign w:val="center"/>
          </w:tcPr>
          <w:p w14:paraId="0F75F21B">
            <w:pPr>
              <w:jc w:val="center"/>
              <w:rPr>
                <w:rFonts w:hint="eastAsia" w:ascii="仿宋_GB2312" w:hAnsi="仿宋_GB2312" w:eastAsia="仿宋_GB2312" w:cs="仿宋_GB2312"/>
                <w:shd w:val="clear" w:color="auto" w:fill="FFFFFF"/>
                <w:lang w:val="en-US" w:eastAsia="zh-CN"/>
              </w:rPr>
            </w:pPr>
            <w:r>
              <w:rPr>
                <w:rFonts w:hint="eastAsia" w:ascii="仿宋_GB2312" w:hAnsi="仿宋_GB2312" w:eastAsia="仿宋_GB2312" w:cs="仿宋_GB2312"/>
                <w:szCs w:val="21"/>
                <w:shd w:val="clear" w:color="auto" w:fill="FFFFFF"/>
                <w:lang w:val="en-US" w:eastAsia="zh-CN"/>
              </w:rPr>
              <w:t>周伟</w:t>
            </w:r>
          </w:p>
        </w:tc>
        <w:tc>
          <w:tcPr>
            <w:tcW w:w="3500" w:type="dxa"/>
            <w:vAlign w:val="center"/>
          </w:tcPr>
          <w:p w14:paraId="39123CD7">
            <w:pPr>
              <w:jc w:val="center"/>
              <w:rPr>
                <w:rFonts w:hint="eastAsia" w:ascii="仿宋_GB2312" w:hAnsi="仿宋_GB2312" w:eastAsia="仿宋_GB2312" w:cs="仿宋_GB2312"/>
                <w:shd w:val="clear" w:color="auto" w:fill="FFFFFF"/>
                <w:lang w:val="en-US" w:eastAsia="zh-CN"/>
              </w:rPr>
            </w:pPr>
            <w:r>
              <w:rPr>
                <w:rFonts w:hint="default" w:ascii="仿宋_GB2312" w:hAnsi="仿宋_GB2312" w:eastAsia="仿宋_GB2312" w:cs="仿宋_GB2312"/>
                <w:szCs w:val="21"/>
                <w:shd w:val="clear" w:color="auto" w:fill="FFFFFF"/>
                <w:lang w:val="en-US" w:eastAsia="zh-CN"/>
              </w:rPr>
              <w:t>中海油研究总院有限责任公司</w:t>
            </w:r>
          </w:p>
        </w:tc>
        <w:tc>
          <w:tcPr>
            <w:tcW w:w="3221" w:type="dxa"/>
            <w:vAlign w:val="center"/>
          </w:tcPr>
          <w:p w14:paraId="078910E5">
            <w:pPr>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hd w:val="clear" w:color="auto" w:fill="FFFFFF"/>
                <w:lang w:val="en-US" w:eastAsia="zh-CN"/>
              </w:rPr>
              <w:t>参与前期调研及标准大纲的编制、技术把关</w:t>
            </w:r>
          </w:p>
        </w:tc>
      </w:tr>
      <w:tr w14:paraId="570790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83" w:type="dxa"/>
            <w:vAlign w:val="center"/>
          </w:tcPr>
          <w:p w14:paraId="7D0FC82C">
            <w:pPr>
              <w:spacing w:line="240" w:lineRule="auto"/>
              <w:jc w:val="center"/>
              <w:rPr>
                <w:rFonts w:hint="eastAsia" w:ascii="仿宋_GB2312" w:hAnsi="仿宋_GB2312" w:eastAsia="仿宋_GB2312" w:cs="仿宋_GB2312"/>
                <w:shd w:val="clear" w:color="auto" w:fill="FFFFFF"/>
                <w:lang w:eastAsia="zh-CN"/>
              </w:rPr>
            </w:pPr>
            <w:r>
              <w:rPr>
                <w:rFonts w:hint="eastAsia" w:ascii="仿宋_GB2312" w:hAnsi="仿宋_GB2312" w:eastAsia="仿宋_GB2312" w:cs="仿宋_GB2312"/>
                <w:shd w:val="clear" w:color="auto" w:fill="FFFFFF"/>
              </w:rPr>
              <w:t>1</w:t>
            </w:r>
            <w:r>
              <w:rPr>
                <w:rFonts w:hint="eastAsia" w:ascii="仿宋_GB2312" w:hAnsi="仿宋_GB2312" w:eastAsia="仿宋_GB2312" w:cs="仿宋_GB2312"/>
                <w:shd w:val="clear" w:color="auto" w:fill="FFFFFF"/>
                <w:lang w:val="en-US" w:eastAsia="zh-CN"/>
              </w:rPr>
              <w:t>0</w:t>
            </w:r>
          </w:p>
        </w:tc>
        <w:tc>
          <w:tcPr>
            <w:tcW w:w="1178" w:type="dxa"/>
            <w:vAlign w:val="center"/>
          </w:tcPr>
          <w:p w14:paraId="70DBD117">
            <w:pPr>
              <w:jc w:val="center"/>
              <w:rPr>
                <w:rFonts w:hint="eastAsia" w:ascii="仿宋_GB2312" w:hAnsi="仿宋_GB2312" w:eastAsia="仿宋_GB2312" w:cs="仿宋_GB2312"/>
                <w:shd w:val="clear" w:color="auto" w:fill="FFFFFF"/>
                <w:lang w:val="en-US" w:eastAsia="zh-CN"/>
              </w:rPr>
            </w:pPr>
            <w:r>
              <w:rPr>
                <w:rFonts w:hint="eastAsia" w:ascii="仿宋_GB2312" w:hAnsi="仿宋_GB2312" w:eastAsia="仿宋_GB2312" w:cs="仿宋_GB2312"/>
                <w:szCs w:val="21"/>
                <w:shd w:val="clear" w:color="auto" w:fill="FFFFFF"/>
                <w:lang w:val="en-US" w:eastAsia="zh-CN"/>
              </w:rPr>
              <w:t>周向京</w:t>
            </w:r>
          </w:p>
        </w:tc>
        <w:tc>
          <w:tcPr>
            <w:tcW w:w="3500" w:type="dxa"/>
            <w:vAlign w:val="center"/>
          </w:tcPr>
          <w:p w14:paraId="7AA7176E">
            <w:pPr>
              <w:jc w:val="center"/>
              <w:rPr>
                <w:rFonts w:hint="eastAsia" w:ascii="仿宋_GB2312" w:hAnsi="仿宋_GB2312" w:eastAsia="仿宋_GB2312" w:cs="仿宋_GB2312"/>
                <w:shd w:val="clear" w:color="auto" w:fill="FFFFFF"/>
                <w:lang w:val="en-US" w:eastAsia="zh-CN"/>
              </w:rPr>
            </w:pPr>
            <w:r>
              <w:rPr>
                <w:rFonts w:hint="eastAsia" w:ascii="仿宋_GB2312" w:hAnsi="仿宋_GB2312" w:eastAsia="仿宋_GB2312" w:cs="仿宋_GB2312"/>
                <w:szCs w:val="21"/>
                <w:shd w:val="clear" w:color="auto" w:fill="FFFFFF"/>
                <w:lang w:val="en-US" w:eastAsia="zh-CN"/>
              </w:rPr>
              <w:t>中国海洋石油集团有限公司</w:t>
            </w:r>
          </w:p>
        </w:tc>
        <w:tc>
          <w:tcPr>
            <w:tcW w:w="3221" w:type="dxa"/>
            <w:vAlign w:val="center"/>
          </w:tcPr>
          <w:p w14:paraId="22459723">
            <w:pPr>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法律法规、部门规章与标准的协调性检查把关</w:t>
            </w:r>
          </w:p>
        </w:tc>
      </w:tr>
      <w:tr w14:paraId="395397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83" w:type="dxa"/>
            <w:vAlign w:val="center"/>
          </w:tcPr>
          <w:p w14:paraId="48A76BD2">
            <w:pPr>
              <w:spacing w:line="240" w:lineRule="auto"/>
              <w:jc w:val="center"/>
              <w:rPr>
                <w:rFonts w:hint="eastAsia" w:ascii="仿宋_GB2312" w:hAnsi="仿宋_GB2312" w:eastAsia="仿宋_GB2312" w:cs="仿宋_GB2312"/>
                <w:shd w:val="clear" w:color="auto" w:fill="FFFFFF"/>
                <w:lang w:eastAsia="zh-CN"/>
              </w:rPr>
            </w:pPr>
            <w:r>
              <w:rPr>
                <w:rFonts w:hint="eastAsia" w:ascii="仿宋_GB2312" w:hAnsi="仿宋_GB2312" w:eastAsia="仿宋_GB2312" w:cs="仿宋_GB2312"/>
                <w:shd w:val="clear" w:color="auto" w:fill="FFFFFF"/>
              </w:rPr>
              <w:t>1</w:t>
            </w:r>
            <w:r>
              <w:rPr>
                <w:rFonts w:hint="eastAsia" w:ascii="仿宋_GB2312" w:hAnsi="仿宋_GB2312" w:eastAsia="仿宋_GB2312" w:cs="仿宋_GB2312"/>
                <w:shd w:val="clear" w:color="auto" w:fill="FFFFFF"/>
                <w:lang w:val="en-US" w:eastAsia="zh-CN"/>
              </w:rPr>
              <w:t>1</w:t>
            </w:r>
          </w:p>
        </w:tc>
        <w:tc>
          <w:tcPr>
            <w:tcW w:w="1178" w:type="dxa"/>
            <w:shd w:val="clear" w:color="auto" w:fill="FFFFFF" w:themeFill="background1"/>
            <w:vAlign w:val="center"/>
          </w:tcPr>
          <w:p w14:paraId="2E08FADC">
            <w:pPr>
              <w:jc w:val="center"/>
              <w:rPr>
                <w:rFonts w:hint="eastAsia" w:ascii="仿宋_GB2312" w:hAnsi="仿宋_GB2312" w:eastAsia="仿宋_GB2312" w:cs="仿宋_GB2312"/>
                <w:highlight w:val="none"/>
                <w:shd w:val="clear" w:color="auto" w:fill="FFFFFF"/>
                <w:lang w:val="en-US" w:eastAsia="zh-CN"/>
              </w:rPr>
            </w:pPr>
            <w:r>
              <w:rPr>
                <w:rFonts w:hint="eastAsia" w:ascii="仿宋_GB2312" w:hAnsi="仿宋_GB2312" w:eastAsia="仿宋_GB2312" w:cs="仿宋_GB2312"/>
                <w:szCs w:val="21"/>
                <w:shd w:val="clear" w:color="auto" w:fill="FFFFFF"/>
                <w:lang w:val="en-US" w:eastAsia="zh-CN"/>
              </w:rPr>
              <w:t>朱海龙</w:t>
            </w:r>
          </w:p>
        </w:tc>
        <w:tc>
          <w:tcPr>
            <w:tcW w:w="3500" w:type="dxa"/>
            <w:vAlign w:val="center"/>
          </w:tcPr>
          <w:p w14:paraId="2549E4DA">
            <w:pPr>
              <w:jc w:val="center"/>
              <w:rPr>
                <w:rFonts w:hint="eastAsia" w:ascii="仿宋_GB2312" w:hAnsi="仿宋_GB2312" w:eastAsia="仿宋_GB2312" w:cs="仿宋_GB2312"/>
                <w:shd w:val="clear" w:color="auto" w:fill="FFFFFF"/>
                <w:lang w:val="en-US" w:eastAsia="zh-CN"/>
              </w:rPr>
            </w:pPr>
            <w:r>
              <w:rPr>
                <w:rFonts w:hint="eastAsia" w:ascii="仿宋_GB2312" w:hAnsi="仿宋_GB2312" w:eastAsia="仿宋_GB2312" w:cs="仿宋_GB2312"/>
                <w:szCs w:val="21"/>
                <w:shd w:val="clear" w:color="auto" w:fill="FFFFFF"/>
                <w:lang w:val="en-US" w:eastAsia="zh-CN"/>
              </w:rPr>
              <w:t>中国海洋石油集团有限公司</w:t>
            </w:r>
          </w:p>
        </w:tc>
        <w:tc>
          <w:tcPr>
            <w:tcW w:w="3221" w:type="dxa"/>
            <w:vAlign w:val="center"/>
          </w:tcPr>
          <w:p w14:paraId="65E3A4D4">
            <w:pPr>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法律法规、部门规章与标准的协调性检查把关</w:t>
            </w:r>
          </w:p>
        </w:tc>
      </w:tr>
      <w:tr w14:paraId="4A88D4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83" w:type="dxa"/>
            <w:vAlign w:val="center"/>
          </w:tcPr>
          <w:p w14:paraId="05934C72">
            <w:pPr>
              <w:spacing w:line="240" w:lineRule="auto"/>
              <w:jc w:val="center"/>
              <w:rPr>
                <w:rFonts w:hint="default" w:ascii="仿宋_GB2312" w:hAnsi="仿宋_GB2312" w:eastAsia="仿宋_GB2312" w:cs="仿宋_GB2312"/>
                <w:shd w:val="clear" w:color="auto" w:fill="FFFFFF"/>
                <w:lang w:val="en-US" w:eastAsia="zh-CN"/>
              </w:rPr>
            </w:pPr>
            <w:r>
              <w:rPr>
                <w:rFonts w:hint="eastAsia" w:ascii="仿宋_GB2312" w:hAnsi="仿宋_GB2312" w:eastAsia="仿宋_GB2312" w:cs="仿宋_GB2312"/>
                <w:shd w:val="clear" w:color="auto" w:fill="FFFFFF"/>
                <w:lang w:val="en-US" w:eastAsia="zh-CN"/>
              </w:rPr>
              <w:t>12</w:t>
            </w:r>
          </w:p>
        </w:tc>
        <w:tc>
          <w:tcPr>
            <w:tcW w:w="1178" w:type="dxa"/>
            <w:shd w:val="clear" w:color="auto" w:fill="FFFFFF" w:themeFill="background1"/>
            <w:vAlign w:val="center"/>
          </w:tcPr>
          <w:p w14:paraId="527896F3">
            <w:pPr>
              <w:spacing w:line="240" w:lineRule="auto"/>
              <w:jc w:val="center"/>
              <w:rPr>
                <w:rFonts w:hint="eastAsia" w:ascii="仿宋_GB2312" w:hAnsi="仿宋_GB2312" w:eastAsia="仿宋_GB2312" w:cs="仿宋_GB2312"/>
                <w:kern w:val="2"/>
                <w:sz w:val="21"/>
                <w:szCs w:val="21"/>
                <w:highlight w:val="none"/>
                <w:shd w:val="clear" w:color="auto" w:fill="FFFFFF"/>
                <w:lang w:val="en-US" w:eastAsia="zh-CN" w:bidi="ar-SA"/>
              </w:rPr>
            </w:pPr>
            <w:r>
              <w:rPr>
                <w:rFonts w:hint="eastAsia" w:ascii="仿宋_GB2312" w:hAnsi="仿宋_GB2312" w:eastAsia="仿宋_GB2312" w:cs="仿宋_GB2312"/>
                <w:shd w:val="clear" w:color="auto" w:fill="FFFFFF"/>
                <w:lang w:val="en-US" w:eastAsia="zh-CN"/>
              </w:rPr>
              <w:t>赵德</w:t>
            </w:r>
          </w:p>
        </w:tc>
        <w:tc>
          <w:tcPr>
            <w:tcW w:w="3500" w:type="dxa"/>
            <w:vAlign w:val="center"/>
          </w:tcPr>
          <w:p w14:paraId="192FCD4A">
            <w:pPr>
              <w:spacing w:line="240" w:lineRule="auto"/>
              <w:jc w:val="center"/>
              <w:rPr>
                <w:rFonts w:hint="eastAsia" w:ascii="仿宋_GB2312" w:hAnsi="仿宋_GB2312" w:eastAsia="仿宋_GB2312" w:cs="仿宋_GB2312"/>
                <w:kern w:val="2"/>
                <w:sz w:val="21"/>
                <w:szCs w:val="21"/>
                <w:shd w:val="clear" w:color="auto" w:fill="FFFFFF"/>
                <w:lang w:val="en-US" w:eastAsia="zh-CN" w:bidi="ar-SA"/>
              </w:rPr>
            </w:pPr>
            <w:r>
              <w:rPr>
                <w:rFonts w:hint="eastAsia" w:ascii="仿宋_GB2312" w:hAnsi="仿宋_GB2312" w:eastAsia="仿宋_GB2312" w:cs="仿宋_GB2312"/>
                <w:shd w:val="clear" w:color="auto" w:fill="FFFFFF"/>
                <w:lang w:val="en-US" w:eastAsia="zh-CN"/>
              </w:rPr>
              <w:t>应急管理部危化监管二司</w:t>
            </w:r>
          </w:p>
        </w:tc>
        <w:tc>
          <w:tcPr>
            <w:tcW w:w="3221" w:type="dxa"/>
            <w:vAlign w:val="center"/>
          </w:tcPr>
          <w:p w14:paraId="6DE04476">
            <w:pPr>
              <w:spacing w:line="240" w:lineRule="auto"/>
              <w:jc w:val="center"/>
              <w:rPr>
                <w:rFonts w:hint="eastAsia" w:ascii="仿宋_GB2312" w:hAnsi="仿宋_GB2312" w:eastAsia="仿宋_GB2312" w:cs="仿宋_GB2312"/>
                <w:kern w:val="2"/>
                <w:sz w:val="21"/>
                <w:szCs w:val="21"/>
                <w:shd w:val="clear" w:color="auto" w:fill="FFFFFF"/>
                <w:lang w:val="en-US" w:eastAsia="zh-CN" w:bidi="ar-SA"/>
              </w:rPr>
            </w:pPr>
            <w:r>
              <w:rPr>
                <w:rFonts w:hint="eastAsia" w:ascii="仿宋_GB2312" w:hAnsi="仿宋_GB2312" w:eastAsia="仿宋_GB2312" w:cs="仿宋_GB2312"/>
                <w:shd w:val="clear" w:color="auto" w:fill="FFFFFF"/>
              </w:rPr>
              <w:t>项目组织协调、管理、技术把关</w:t>
            </w:r>
          </w:p>
        </w:tc>
      </w:tr>
      <w:tr w14:paraId="2AE81F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83" w:type="dxa"/>
            <w:vAlign w:val="center"/>
          </w:tcPr>
          <w:p w14:paraId="6B14C4DC">
            <w:pPr>
              <w:spacing w:line="240" w:lineRule="auto"/>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13</w:t>
            </w:r>
          </w:p>
        </w:tc>
        <w:tc>
          <w:tcPr>
            <w:tcW w:w="1178" w:type="dxa"/>
            <w:vAlign w:val="center"/>
          </w:tcPr>
          <w:p w14:paraId="3134DB9B">
            <w:pPr>
              <w:jc w:val="center"/>
              <w:rPr>
                <w:rFonts w:hint="default" w:ascii="仿宋_GB2312" w:hAnsi="仿宋_GB2312" w:eastAsia="仿宋_GB2312" w:cs="仿宋_GB2312"/>
                <w:shd w:val="clear" w:color="auto" w:fill="FFFFFF"/>
                <w:lang w:val="en-US" w:eastAsia="zh-CN"/>
              </w:rPr>
            </w:pPr>
            <w:r>
              <w:rPr>
                <w:rFonts w:hint="eastAsia" w:ascii="仿宋_GB2312" w:hAnsi="仿宋_GB2312" w:eastAsia="仿宋_GB2312" w:cs="仿宋_GB2312"/>
                <w:szCs w:val="21"/>
                <w:shd w:val="clear" w:color="auto" w:fill="FFFFFF"/>
                <w:lang w:val="en-US" w:eastAsia="zh-CN"/>
              </w:rPr>
              <w:t>汪文广</w:t>
            </w:r>
          </w:p>
        </w:tc>
        <w:tc>
          <w:tcPr>
            <w:tcW w:w="3500" w:type="dxa"/>
            <w:vAlign w:val="center"/>
          </w:tcPr>
          <w:p w14:paraId="294D2DD2">
            <w:pPr>
              <w:jc w:val="center"/>
              <w:rPr>
                <w:rFonts w:hint="eastAsia" w:ascii="仿宋_GB2312" w:hAnsi="仿宋_GB2312" w:eastAsia="仿宋_GB2312" w:cs="仿宋_GB2312"/>
                <w:shd w:val="clear" w:color="auto" w:fill="FFFFFF"/>
                <w:lang w:val="en-US" w:eastAsia="zh-CN"/>
              </w:rPr>
            </w:pPr>
            <w:r>
              <w:rPr>
                <w:rFonts w:hint="eastAsia" w:ascii="仿宋_GB2312" w:hAnsi="仿宋_GB2312" w:eastAsia="仿宋_GB2312" w:cs="仿宋_GB2312"/>
                <w:shd w:val="clear" w:color="auto" w:fill="FFFFFF"/>
                <w:lang w:val="en-US" w:eastAsia="zh-CN"/>
              </w:rPr>
              <w:t>应急管理部危化监管二司</w:t>
            </w:r>
          </w:p>
        </w:tc>
        <w:tc>
          <w:tcPr>
            <w:tcW w:w="3221" w:type="dxa"/>
            <w:vAlign w:val="center"/>
          </w:tcPr>
          <w:p w14:paraId="29E4744C">
            <w:pPr>
              <w:jc w:val="center"/>
              <w:rPr>
                <w:rFonts w:hint="default" w:ascii="仿宋_GB2312" w:hAnsi="仿宋_GB2312" w:eastAsia="仿宋_GB2312" w:cs="仿宋_GB2312"/>
                <w:shd w:val="clear" w:color="auto" w:fill="FFFFFF"/>
                <w:lang w:val="en-US"/>
              </w:rPr>
            </w:pPr>
            <w:r>
              <w:rPr>
                <w:rFonts w:hint="eastAsia" w:ascii="仿宋_GB2312" w:hAnsi="仿宋_GB2312" w:eastAsia="仿宋_GB2312" w:cs="仿宋_GB2312"/>
                <w:shd w:val="clear" w:color="auto" w:fill="FFFFFF"/>
                <w:lang w:val="en-US" w:eastAsia="zh-CN"/>
              </w:rPr>
              <w:t>参与前期调研及标准大纲的编制</w:t>
            </w:r>
          </w:p>
        </w:tc>
      </w:tr>
      <w:tr w14:paraId="04C58D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83" w:type="dxa"/>
            <w:vAlign w:val="center"/>
          </w:tcPr>
          <w:p w14:paraId="4C4BF4DE">
            <w:pPr>
              <w:spacing w:line="240" w:lineRule="auto"/>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14</w:t>
            </w:r>
          </w:p>
        </w:tc>
        <w:tc>
          <w:tcPr>
            <w:tcW w:w="1178" w:type="dxa"/>
            <w:vAlign w:val="center"/>
          </w:tcPr>
          <w:p w14:paraId="49482B08">
            <w:pPr>
              <w:jc w:val="center"/>
              <w:rPr>
                <w:rFonts w:hint="eastAsia" w:ascii="仿宋_GB2312" w:hAnsi="仿宋_GB2312" w:eastAsia="仿宋_GB2312" w:cs="仿宋_GB2312"/>
                <w:shd w:val="clear" w:color="auto" w:fill="FFFFFF"/>
                <w:lang w:val="en-US" w:eastAsia="zh-CN"/>
              </w:rPr>
            </w:pPr>
            <w:r>
              <w:rPr>
                <w:rFonts w:hint="eastAsia" w:ascii="仿宋_GB2312" w:hAnsi="仿宋_GB2312" w:eastAsia="仿宋_GB2312" w:cs="仿宋_GB2312"/>
                <w:szCs w:val="21"/>
                <w:shd w:val="clear" w:color="auto" w:fill="FFFFFF"/>
                <w:lang w:val="en-US" w:eastAsia="zh-CN"/>
              </w:rPr>
              <w:t>王志月</w:t>
            </w:r>
          </w:p>
        </w:tc>
        <w:tc>
          <w:tcPr>
            <w:tcW w:w="3500" w:type="dxa"/>
            <w:vAlign w:val="center"/>
          </w:tcPr>
          <w:p w14:paraId="5CDDC4C7">
            <w:pPr>
              <w:jc w:val="center"/>
              <w:rPr>
                <w:rFonts w:hint="eastAsia" w:ascii="仿宋_GB2312" w:hAnsi="仿宋_GB2312" w:eastAsia="仿宋_GB2312" w:cs="仿宋_GB2312"/>
                <w:shd w:val="clear" w:color="auto" w:fill="FFFFFF"/>
                <w:lang w:val="en-US" w:eastAsia="zh-CN"/>
              </w:rPr>
            </w:pPr>
            <w:r>
              <w:rPr>
                <w:rFonts w:hint="eastAsia" w:ascii="仿宋_GB2312" w:hAnsi="仿宋_GB2312" w:eastAsia="仿宋_GB2312" w:cs="仿宋_GB2312"/>
                <w:shd w:val="clear" w:color="auto" w:fill="FFFFFF"/>
                <w:lang w:val="en-US" w:eastAsia="zh-CN"/>
              </w:rPr>
              <w:t>应急管理部危化监管二司</w:t>
            </w:r>
          </w:p>
        </w:tc>
        <w:tc>
          <w:tcPr>
            <w:tcW w:w="3221" w:type="dxa"/>
            <w:vAlign w:val="center"/>
          </w:tcPr>
          <w:p w14:paraId="3EE20C69">
            <w:pPr>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hd w:val="clear" w:color="auto" w:fill="FFFFFF"/>
                <w:lang w:val="en-US" w:eastAsia="zh-CN"/>
              </w:rPr>
              <w:t>参与前期调研及标准大纲的编制</w:t>
            </w:r>
          </w:p>
        </w:tc>
      </w:tr>
      <w:tr w14:paraId="7FC550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83" w:type="dxa"/>
            <w:vAlign w:val="center"/>
          </w:tcPr>
          <w:p w14:paraId="41D5FA63">
            <w:pPr>
              <w:spacing w:line="240" w:lineRule="auto"/>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15</w:t>
            </w:r>
          </w:p>
        </w:tc>
        <w:tc>
          <w:tcPr>
            <w:tcW w:w="1178" w:type="dxa"/>
            <w:vAlign w:val="center"/>
          </w:tcPr>
          <w:p w14:paraId="3AEFA0E6">
            <w:pPr>
              <w:jc w:val="center"/>
              <w:rPr>
                <w:rFonts w:hint="eastAsia" w:ascii="仿宋_GB2312" w:hAnsi="仿宋_GB2312" w:eastAsia="仿宋_GB2312" w:cs="仿宋_GB2312"/>
                <w:shd w:val="clear" w:color="auto" w:fill="FFFFFF"/>
                <w:lang w:val="en-US" w:eastAsia="zh-CN"/>
              </w:rPr>
            </w:pPr>
            <w:r>
              <w:rPr>
                <w:rFonts w:hint="eastAsia" w:ascii="仿宋_GB2312" w:hAnsi="仿宋_GB2312" w:eastAsia="仿宋_GB2312" w:cs="仿宋_GB2312"/>
                <w:szCs w:val="21"/>
                <w:shd w:val="clear" w:color="auto" w:fill="FFFFFF"/>
                <w:lang w:val="en-US" w:eastAsia="zh-CN"/>
              </w:rPr>
              <w:t>白文元</w:t>
            </w:r>
          </w:p>
        </w:tc>
        <w:tc>
          <w:tcPr>
            <w:tcW w:w="3500" w:type="dxa"/>
            <w:vAlign w:val="center"/>
          </w:tcPr>
          <w:p w14:paraId="16F39ECA">
            <w:pPr>
              <w:spacing w:line="240" w:lineRule="auto"/>
              <w:jc w:val="center"/>
              <w:rPr>
                <w:rFonts w:hint="eastAsia" w:ascii="仿宋_GB2312" w:hAnsi="仿宋_GB2312" w:eastAsia="仿宋_GB2312" w:cs="仿宋_GB2312"/>
                <w:shd w:val="clear" w:color="auto" w:fill="FFFFFF"/>
                <w:lang w:val="en-US" w:eastAsia="zh-CN"/>
              </w:rPr>
            </w:pPr>
            <w:r>
              <w:rPr>
                <w:rFonts w:hint="eastAsia" w:ascii="仿宋_GB2312" w:hAnsi="仿宋_GB2312" w:eastAsia="仿宋_GB2312" w:cs="仿宋_GB2312"/>
                <w:shd w:val="clear" w:color="auto" w:fill="FFFFFF"/>
                <w:lang w:val="en-US" w:eastAsia="zh-CN"/>
              </w:rPr>
              <w:t>中海石油（中国）有限公司天津分公司</w:t>
            </w:r>
          </w:p>
        </w:tc>
        <w:tc>
          <w:tcPr>
            <w:tcW w:w="3221" w:type="dxa"/>
            <w:vAlign w:val="center"/>
          </w:tcPr>
          <w:p w14:paraId="741DCA05">
            <w:pPr>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hd w:val="clear" w:color="auto" w:fill="FFFFFF"/>
                <w:lang w:val="en-US" w:eastAsia="zh-CN"/>
              </w:rPr>
              <w:t>参与前期调研及标准大纲的编制</w:t>
            </w:r>
          </w:p>
        </w:tc>
      </w:tr>
      <w:tr w14:paraId="302D7D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83" w:type="dxa"/>
            <w:vAlign w:val="center"/>
          </w:tcPr>
          <w:p w14:paraId="7957ED0A">
            <w:pPr>
              <w:spacing w:line="240" w:lineRule="auto"/>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16</w:t>
            </w:r>
          </w:p>
        </w:tc>
        <w:tc>
          <w:tcPr>
            <w:tcW w:w="1178" w:type="dxa"/>
            <w:vAlign w:val="center"/>
          </w:tcPr>
          <w:p w14:paraId="282F5FFE">
            <w:pPr>
              <w:jc w:val="center"/>
              <w:rPr>
                <w:rFonts w:hint="eastAsia" w:ascii="仿宋_GB2312" w:hAnsi="仿宋_GB2312" w:eastAsia="仿宋_GB2312" w:cs="仿宋_GB2312"/>
                <w:shd w:val="clear" w:color="auto" w:fill="FFFFFF"/>
                <w:lang w:val="en-US" w:eastAsia="zh-CN"/>
              </w:rPr>
            </w:pPr>
            <w:r>
              <w:rPr>
                <w:rFonts w:hint="default" w:ascii="仿宋_GB2312" w:hAnsi="仿宋_GB2312" w:eastAsia="仿宋_GB2312" w:cs="仿宋_GB2312"/>
                <w:szCs w:val="21"/>
                <w:shd w:val="clear" w:color="auto" w:fill="FFFFFF"/>
                <w:lang w:val="en-US" w:eastAsia="zh-CN"/>
              </w:rPr>
              <w:t>陶思亮</w:t>
            </w:r>
          </w:p>
        </w:tc>
        <w:tc>
          <w:tcPr>
            <w:tcW w:w="3500" w:type="dxa"/>
            <w:vAlign w:val="center"/>
          </w:tcPr>
          <w:p w14:paraId="1258EBBE">
            <w:pPr>
              <w:spacing w:line="240" w:lineRule="auto"/>
              <w:jc w:val="center"/>
              <w:rPr>
                <w:rFonts w:hint="eastAsia" w:ascii="仿宋_GB2312" w:hAnsi="仿宋_GB2312" w:eastAsia="仿宋_GB2312" w:cs="仿宋_GB2312"/>
                <w:shd w:val="clear" w:color="auto" w:fill="FFFFFF"/>
                <w:lang w:val="en-US" w:eastAsia="zh-CN"/>
              </w:rPr>
            </w:pPr>
            <w:r>
              <w:rPr>
                <w:rFonts w:hint="eastAsia" w:ascii="仿宋_GB2312" w:hAnsi="仿宋_GB2312" w:eastAsia="仿宋_GB2312" w:cs="仿宋_GB2312"/>
                <w:shd w:val="clear" w:color="auto" w:fill="FFFFFF"/>
                <w:lang w:val="en-US" w:eastAsia="zh-CN"/>
              </w:rPr>
              <w:t>中海石油（中国）有限公司天津分公司</w:t>
            </w:r>
          </w:p>
        </w:tc>
        <w:tc>
          <w:tcPr>
            <w:tcW w:w="3221" w:type="dxa"/>
            <w:vAlign w:val="center"/>
          </w:tcPr>
          <w:p w14:paraId="28C7AD0C">
            <w:pPr>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hd w:val="clear" w:color="auto" w:fill="FFFFFF"/>
                <w:lang w:val="en-US" w:eastAsia="zh-CN"/>
              </w:rPr>
              <w:t>参与前期调研及标准大纲的编制</w:t>
            </w:r>
          </w:p>
        </w:tc>
      </w:tr>
      <w:tr w14:paraId="77C744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83" w:type="dxa"/>
            <w:vAlign w:val="center"/>
          </w:tcPr>
          <w:p w14:paraId="729E35AC">
            <w:pPr>
              <w:spacing w:line="240" w:lineRule="auto"/>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17</w:t>
            </w:r>
          </w:p>
        </w:tc>
        <w:tc>
          <w:tcPr>
            <w:tcW w:w="1178" w:type="dxa"/>
            <w:vAlign w:val="center"/>
          </w:tcPr>
          <w:p w14:paraId="5C3C6F6E">
            <w:pPr>
              <w:spacing w:line="240" w:lineRule="auto"/>
              <w:jc w:val="center"/>
              <w:rPr>
                <w:rFonts w:hint="eastAsia" w:ascii="仿宋_GB2312" w:hAnsi="仿宋_GB2312" w:eastAsia="仿宋_GB2312" w:cs="仿宋_GB2312"/>
                <w:shd w:val="clear" w:color="auto" w:fill="FFFFFF"/>
                <w:lang w:val="en-US" w:eastAsia="zh-CN"/>
              </w:rPr>
            </w:pPr>
            <w:r>
              <w:rPr>
                <w:rFonts w:hint="eastAsia" w:ascii="仿宋_GB2312" w:hAnsi="仿宋_GB2312" w:eastAsia="仿宋_GB2312" w:cs="仿宋_GB2312"/>
                <w:shd w:val="clear" w:color="auto" w:fill="FFFFFF"/>
                <w:lang w:val="en-US" w:eastAsia="zh-CN"/>
              </w:rPr>
              <w:t>支景波</w:t>
            </w:r>
          </w:p>
        </w:tc>
        <w:tc>
          <w:tcPr>
            <w:tcW w:w="3500" w:type="dxa"/>
            <w:vAlign w:val="center"/>
          </w:tcPr>
          <w:p w14:paraId="7452E73B">
            <w:pPr>
              <w:spacing w:line="240" w:lineRule="auto"/>
              <w:jc w:val="center"/>
              <w:rPr>
                <w:rFonts w:hint="eastAsia" w:ascii="仿宋_GB2312" w:hAnsi="仿宋_GB2312" w:eastAsia="仿宋_GB2312" w:cs="仿宋_GB2312"/>
                <w:shd w:val="clear" w:color="auto" w:fill="FFFFFF"/>
                <w:lang w:val="en-US" w:eastAsia="zh-CN"/>
              </w:rPr>
            </w:pPr>
            <w:r>
              <w:rPr>
                <w:rFonts w:hint="eastAsia" w:ascii="仿宋_GB2312" w:hAnsi="仿宋_GB2312" w:eastAsia="仿宋_GB2312" w:cs="仿宋_GB2312"/>
                <w:shd w:val="clear" w:color="auto" w:fill="FFFFFF"/>
                <w:lang w:val="en-US" w:eastAsia="zh-CN"/>
              </w:rPr>
              <w:t>中石化（山东）检测评价研究有限公司</w:t>
            </w:r>
          </w:p>
        </w:tc>
        <w:tc>
          <w:tcPr>
            <w:tcW w:w="3221" w:type="dxa"/>
            <w:vAlign w:val="center"/>
          </w:tcPr>
          <w:p w14:paraId="00060BD5">
            <w:pPr>
              <w:spacing w:line="240" w:lineRule="auto"/>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zCs w:val="21"/>
                <w:shd w:val="clear" w:color="auto" w:fill="FFFFFF"/>
                <w:lang w:val="en-US" w:eastAsia="zh-CN"/>
              </w:rPr>
              <w:t>评价单元划分及评价方法选择内容审核</w:t>
            </w:r>
          </w:p>
        </w:tc>
      </w:tr>
      <w:tr w14:paraId="364842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83" w:type="dxa"/>
            <w:vAlign w:val="center"/>
          </w:tcPr>
          <w:p w14:paraId="2239BB24">
            <w:pPr>
              <w:spacing w:line="240" w:lineRule="auto"/>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18</w:t>
            </w:r>
          </w:p>
        </w:tc>
        <w:tc>
          <w:tcPr>
            <w:tcW w:w="1178" w:type="dxa"/>
            <w:vAlign w:val="center"/>
          </w:tcPr>
          <w:p w14:paraId="0174BCAD">
            <w:pPr>
              <w:spacing w:line="240" w:lineRule="auto"/>
              <w:jc w:val="center"/>
              <w:rPr>
                <w:rFonts w:hint="eastAsia" w:ascii="仿宋_GB2312" w:hAnsi="仿宋_GB2312" w:eastAsia="仿宋_GB2312" w:cs="仿宋_GB2312"/>
                <w:shd w:val="clear" w:color="auto" w:fill="FFFFFF"/>
                <w:lang w:val="en-US" w:eastAsia="zh-CN"/>
              </w:rPr>
            </w:pPr>
            <w:r>
              <w:rPr>
                <w:rFonts w:hint="eastAsia" w:ascii="仿宋_GB2312" w:hAnsi="仿宋_GB2312" w:eastAsia="仿宋_GB2312" w:cs="仿宋_GB2312"/>
                <w:szCs w:val="21"/>
                <w:shd w:val="clear" w:color="auto" w:fill="FFFFFF"/>
                <w:lang w:val="en-US" w:eastAsia="zh-CN"/>
              </w:rPr>
              <w:t>刘洋</w:t>
            </w:r>
          </w:p>
        </w:tc>
        <w:tc>
          <w:tcPr>
            <w:tcW w:w="3500" w:type="dxa"/>
            <w:vAlign w:val="center"/>
          </w:tcPr>
          <w:p w14:paraId="7695355C">
            <w:pPr>
              <w:spacing w:line="240" w:lineRule="auto"/>
              <w:jc w:val="center"/>
              <w:rPr>
                <w:rFonts w:hint="eastAsia" w:ascii="仿宋_GB2312" w:hAnsi="仿宋_GB2312" w:eastAsia="仿宋_GB2312" w:cs="仿宋_GB2312"/>
                <w:shd w:val="clear" w:color="auto" w:fill="FFFFFF"/>
                <w:lang w:val="en-US" w:eastAsia="zh-CN"/>
              </w:rPr>
            </w:pPr>
            <w:r>
              <w:rPr>
                <w:rFonts w:hint="eastAsia" w:ascii="仿宋_GB2312" w:hAnsi="仿宋_GB2312" w:eastAsia="仿宋_GB2312" w:cs="仿宋_GB2312"/>
                <w:shd w:val="clear" w:color="auto" w:fill="FFFFFF"/>
                <w:lang w:val="en-US" w:eastAsia="zh-CN"/>
              </w:rPr>
              <w:t>中石化（山东）检测评价研究有限公司</w:t>
            </w:r>
          </w:p>
        </w:tc>
        <w:tc>
          <w:tcPr>
            <w:tcW w:w="3221" w:type="dxa"/>
            <w:vAlign w:val="center"/>
          </w:tcPr>
          <w:p w14:paraId="1249CDFD">
            <w:pPr>
              <w:spacing w:line="240" w:lineRule="auto"/>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hd w:val="clear" w:color="auto" w:fill="FFFFFF"/>
                <w:lang w:val="en-US" w:eastAsia="zh-CN"/>
              </w:rPr>
              <w:t>安全管理单元评价内容审核</w:t>
            </w:r>
          </w:p>
        </w:tc>
      </w:tr>
      <w:tr w14:paraId="5ED06A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83" w:type="dxa"/>
            <w:vAlign w:val="center"/>
          </w:tcPr>
          <w:p w14:paraId="6C100FE5">
            <w:pPr>
              <w:spacing w:line="240" w:lineRule="auto"/>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19</w:t>
            </w:r>
          </w:p>
        </w:tc>
        <w:tc>
          <w:tcPr>
            <w:tcW w:w="1178" w:type="dxa"/>
            <w:vAlign w:val="center"/>
          </w:tcPr>
          <w:p w14:paraId="229AC5CE">
            <w:pPr>
              <w:spacing w:line="240" w:lineRule="auto"/>
              <w:jc w:val="center"/>
              <w:rPr>
                <w:rFonts w:hint="eastAsia" w:ascii="仿宋_GB2312" w:hAnsi="仿宋_GB2312" w:eastAsia="仿宋_GB2312" w:cs="仿宋_GB2312"/>
                <w:shd w:val="clear" w:color="auto" w:fill="FFFFFF"/>
                <w:lang w:val="en-US" w:eastAsia="zh-CN"/>
              </w:rPr>
            </w:pPr>
            <w:r>
              <w:rPr>
                <w:rFonts w:hint="eastAsia" w:ascii="仿宋_GB2312" w:hAnsi="仿宋_GB2312" w:eastAsia="仿宋_GB2312" w:cs="仿宋_GB2312"/>
                <w:szCs w:val="21"/>
                <w:shd w:val="clear" w:color="auto" w:fill="FFFFFF"/>
                <w:lang w:val="en-US" w:eastAsia="zh-CN"/>
              </w:rPr>
              <w:t>王金友</w:t>
            </w:r>
          </w:p>
        </w:tc>
        <w:tc>
          <w:tcPr>
            <w:tcW w:w="3500" w:type="dxa"/>
            <w:vAlign w:val="center"/>
          </w:tcPr>
          <w:p w14:paraId="04B4032F">
            <w:pPr>
              <w:spacing w:line="240" w:lineRule="auto"/>
              <w:jc w:val="center"/>
              <w:rPr>
                <w:rFonts w:hint="default" w:ascii="仿宋_GB2312" w:hAnsi="仿宋_GB2312" w:eastAsia="仿宋_GB2312" w:cs="仿宋_GB2312"/>
                <w:shd w:val="clear" w:color="auto" w:fill="FFFFFF"/>
                <w:lang w:val="en-US" w:eastAsia="zh-CN"/>
              </w:rPr>
            </w:pPr>
            <w:r>
              <w:rPr>
                <w:rFonts w:hint="eastAsia" w:ascii="仿宋_GB2312" w:hAnsi="仿宋_GB2312" w:eastAsia="仿宋_GB2312" w:cs="仿宋_GB2312"/>
                <w:szCs w:val="21"/>
                <w:shd w:val="clear" w:color="auto" w:fill="FFFFFF"/>
                <w:lang w:val="en-US" w:eastAsia="zh-CN"/>
              </w:rPr>
              <w:t>中国石油集团安全环保技术研究院有限公司</w:t>
            </w:r>
          </w:p>
        </w:tc>
        <w:tc>
          <w:tcPr>
            <w:tcW w:w="3221" w:type="dxa"/>
            <w:vAlign w:val="center"/>
          </w:tcPr>
          <w:p w14:paraId="3B311658">
            <w:pPr>
              <w:spacing w:line="240" w:lineRule="auto"/>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zCs w:val="21"/>
                <w:shd w:val="clear" w:color="auto" w:fill="FFFFFF"/>
                <w:lang w:val="en-US" w:eastAsia="zh-CN"/>
              </w:rPr>
              <w:t>风险辨识与分析评价内容审核</w:t>
            </w:r>
          </w:p>
        </w:tc>
      </w:tr>
      <w:tr w14:paraId="78136F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83" w:type="dxa"/>
            <w:vAlign w:val="center"/>
          </w:tcPr>
          <w:p w14:paraId="081DC4B2">
            <w:pPr>
              <w:spacing w:line="240" w:lineRule="auto"/>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20</w:t>
            </w:r>
          </w:p>
        </w:tc>
        <w:tc>
          <w:tcPr>
            <w:tcW w:w="1178" w:type="dxa"/>
            <w:vAlign w:val="center"/>
          </w:tcPr>
          <w:p w14:paraId="58F9B68B">
            <w:pPr>
              <w:spacing w:line="240" w:lineRule="auto"/>
              <w:jc w:val="center"/>
              <w:rPr>
                <w:rFonts w:hint="default" w:ascii="仿宋_GB2312" w:hAnsi="仿宋_GB2312" w:eastAsia="仿宋_GB2312" w:cs="仿宋_GB2312"/>
                <w:shd w:val="clear" w:color="auto" w:fill="FFFFFF"/>
                <w:lang w:val="en-US" w:eastAsia="zh-CN"/>
              </w:rPr>
            </w:pPr>
            <w:r>
              <w:rPr>
                <w:rFonts w:hint="eastAsia" w:ascii="仿宋_GB2312" w:hAnsi="仿宋_GB2312" w:eastAsia="仿宋_GB2312" w:cs="仿宋_GB2312"/>
                <w:szCs w:val="21"/>
                <w:shd w:val="clear" w:color="auto" w:fill="FFFFFF"/>
                <w:lang w:val="en-US" w:eastAsia="zh-CN"/>
              </w:rPr>
              <w:t>常维纯</w:t>
            </w:r>
          </w:p>
        </w:tc>
        <w:tc>
          <w:tcPr>
            <w:tcW w:w="3500" w:type="dxa"/>
            <w:vAlign w:val="center"/>
          </w:tcPr>
          <w:p w14:paraId="488E5B8B">
            <w:pPr>
              <w:spacing w:line="240" w:lineRule="auto"/>
              <w:jc w:val="center"/>
              <w:rPr>
                <w:rFonts w:hint="eastAsia" w:ascii="仿宋_GB2312" w:hAnsi="仿宋_GB2312" w:eastAsia="仿宋_GB2312" w:cs="仿宋_GB2312"/>
                <w:shd w:val="clear" w:color="auto" w:fill="FFFFFF"/>
                <w:lang w:val="en-US" w:eastAsia="zh-CN"/>
              </w:rPr>
            </w:pPr>
            <w:r>
              <w:rPr>
                <w:rFonts w:hint="eastAsia" w:ascii="仿宋_GB2312" w:hAnsi="仿宋_GB2312" w:eastAsia="仿宋_GB2312" w:cs="仿宋_GB2312"/>
                <w:szCs w:val="21"/>
                <w:shd w:val="clear" w:color="auto" w:fill="FFFFFF"/>
                <w:lang w:val="en-US" w:eastAsia="zh-CN"/>
              </w:rPr>
              <w:t>国家石油天然气管网集团有限公司科学技术研究总院分公司</w:t>
            </w:r>
          </w:p>
        </w:tc>
        <w:tc>
          <w:tcPr>
            <w:tcW w:w="3221" w:type="dxa"/>
            <w:vAlign w:val="center"/>
          </w:tcPr>
          <w:p w14:paraId="6F6C0834">
            <w:pPr>
              <w:spacing w:line="240" w:lineRule="auto"/>
              <w:jc w:val="center"/>
              <w:rPr>
                <w:rFonts w:hint="eastAsia"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法律法规、部门规章与标准的协调性检查把关</w:t>
            </w:r>
          </w:p>
        </w:tc>
      </w:tr>
    </w:tbl>
    <w:p w14:paraId="6017C43F">
      <w:pPr>
        <w:spacing w:line="560" w:lineRule="exact"/>
        <w:ind w:firstLine="640" w:firstLineChars="200"/>
        <w:rPr>
          <w:rFonts w:hint="eastAsia" w:ascii="楷体" w:hAnsi="楷体" w:eastAsia="楷体"/>
          <w:sz w:val="32"/>
          <w:szCs w:val="32"/>
          <w:shd w:val="clear" w:color="auto" w:fill="FFFFFF"/>
        </w:rPr>
      </w:pPr>
      <w:r>
        <w:rPr>
          <w:rFonts w:hint="eastAsia" w:ascii="楷体" w:hAnsi="楷体" w:eastAsia="楷体"/>
          <w:sz w:val="32"/>
          <w:szCs w:val="32"/>
          <w:shd w:val="clear" w:color="auto" w:fill="FFFFFF"/>
        </w:rPr>
        <w:t>（四）</w:t>
      </w:r>
      <w:r>
        <w:rPr>
          <w:rFonts w:hint="eastAsia" w:ascii="楷体" w:hAnsi="楷体" w:eastAsia="楷体"/>
          <w:sz w:val="32"/>
          <w:szCs w:val="32"/>
          <w:shd w:val="clear" w:color="auto" w:fill="FFFFFF"/>
          <w:lang w:eastAsia="zh-CN"/>
        </w:rPr>
        <w:t>主要起草</w:t>
      </w:r>
      <w:r>
        <w:rPr>
          <w:rFonts w:hint="eastAsia" w:ascii="楷体" w:hAnsi="楷体" w:eastAsia="楷体"/>
          <w:sz w:val="32"/>
          <w:szCs w:val="32"/>
          <w:shd w:val="clear" w:color="auto" w:fill="FFFFFF"/>
        </w:rPr>
        <w:t>过程</w:t>
      </w:r>
    </w:p>
    <w:p w14:paraId="117B04E1">
      <w:pPr>
        <w:spacing w:line="560" w:lineRule="exact"/>
        <w:ind w:firstLine="640" w:firstLineChars="200"/>
        <w:rPr>
          <w:rFonts w:hint="default" w:ascii="宋体" w:hAnsi="宋体" w:eastAsia="仿宋_GB2312" w:cs="Times New Roman"/>
          <w:i w:val="0"/>
          <w:iCs/>
          <w:color w:val="auto"/>
          <w:sz w:val="32"/>
          <w:szCs w:val="32"/>
          <w:lang w:val="en-US" w:eastAsia="zh-CN"/>
        </w:rPr>
      </w:pPr>
      <w:r>
        <w:rPr>
          <w:rFonts w:hint="eastAsia" w:ascii="宋体" w:hAnsi="宋体" w:eastAsia="仿宋_GB2312" w:cs="Times New Roman"/>
          <w:i w:val="0"/>
          <w:iCs/>
          <w:color w:val="auto"/>
          <w:sz w:val="32"/>
          <w:szCs w:val="32"/>
          <w:lang w:val="en-US" w:eastAsia="zh-CN"/>
        </w:rPr>
        <w:t>1.</w:t>
      </w:r>
      <w:r>
        <w:rPr>
          <w:rFonts w:hint="default" w:ascii="宋体" w:hAnsi="宋体" w:eastAsia="仿宋_GB2312" w:cs="Times New Roman"/>
          <w:i w:val="0"/>
          <w:iCs/>
          <w:color w:val="auto"/>
          <w:sz w:val="32"/>
          <w:szCs w:val="32"/>
          <w:lang w:val="en-US" w:eastAsia="zh-CN"/>
        </w:rPr>
        <w:t>初稿编制阶段</w:t>
      </w:r>
    </w:p>
    <w:p w14:paraId="49228C02">
      <w:pPr>
        <w:spacing w:line="560" w:lineRule="exact"/>
        <w:ind w:firstLine="640" w:firstLineChars="200"/>
        <w:rPr>
          <w:rFonts w:hint="eastAsia" w:ascii="宋体" w:hAnsi="宋体" w:eastAsia="仿宋_GB2312"/>
          <w:sz w:val="32"/>
          <w:szCs w:val="32"/>
        </w:rPr>
      </w:pPr>
      <w:r>
        <w:rPr>
          <w:rFonts w:hint="eastAsia" w:ascii="宋体" w:hAnsi="宋体" w:eastAsia="仿宋_GB2312"/>
          <w:sz w:val="32"/>
          <w:szCs w:val="32"/>
        </w:rPr>
        <w:t>202</w:t>
      </w:r>
      <w:r>
        <w:rPr>
          <w:rFonts w:hint="eastAsia" w:ascii="宋体" w:hAnsi="宋体" w:eastAsia="仿宋_GB2312"/>
          <w:sz w:val="32"/>
          <w:szCs w:val="32"/>
          <w:lang w:val="en-US" w:eastAsia="zh-CN"/>
        </w:rPr>
        <w:t>6</w:t>
      </w:r>
      <w:r>
        <w:rPr>
          <w:rFonts w:hint="eastAsia" w:ascii="宋体" w:hAnsi="宋体" w:eastAsia="仿宋_GB2312"/>
          <w:sz w:val="32"/>
          <w:szCs w:val="32"/>
        </w:rPr>
        <w:t>年</w:t>
      </w:r>
      <w:r>
        <w:rPr>
          <w:rFonts w:hint="eastAsia" w:ascii="宋体" w:hAnsi="宋体" w:eastAsia="仿宋_GB2312"/>
          <w:sz w:val="32"/>
          <w:szCs w:val="32"/>
          <w:lang w:val="en-US" w:eastAsia="zh-CN"/>
        </w:rPr>
        <w:t>3</w:t>
      </w:r>
      <w:r>
        <w:rPr>
          <w:rFonts w:hint="eastAsia" w:ascii="宋体" w:hAnsi="宋体" w:eastAsia="仿宋_GB2312"/>
          <w:sz w:val="32"/>
          <w:szCs w:val="32"/>
        </w:rPr>
        <w:t>月，应急管理部办公厅下发《</w:t>
      </w:r>
      <w:r>
        <w:rPr>
          <w:rFonts w:hint="eastAsia" w:ascii="宋体" w:hAnsi="宋体" w:eastAsia="仿宋_GB2312"/>
          <w:color w:val="000000" w:themeColor="text1"/>
          <w:sz w:val="32"/>
          <w:szCs w:val="32"/>
          <w:shd w:val="clear" w:color="auto" w:fill="FFFFFF"/>
          <w14:textFill>
            <w14:solidFill>
              <w14:schemeClr w14:val="tx1"/>
            </w14:solidFill>
          </w14:textFill>
        </w:rPr>
        <w:t>应急管理部办公厅关于印发</w:t>
      </w:r>
      <w:r>
        <w:rPr>
          <w:rFonts w:hint="eastAsia" w:ascii="宋体" w:hAnsi="宋体" w:eastAsia="仿宋_GB2312"/>
          <w:color w:val="000000" w:themeColor="text1"/>
          <w:sz w:val="32"/>
          <w:szCs w:val="32"/>
          <w:shd w:val="clear" w:color="auto" w:fill="FFFFFF"/>
          <w:lang w:val="en-US" w:eastAsia="zh-CN"/>
          <w14:textFill>
            <w14:solidFill>
              <w14:schemeClr w14:val="tx1"/>
            </w14:solidFill>
          </w14:textFill>
        </w:rPr>
        <w:t>17</w:t>
      </w:r>
      <w:r>
        <w:rPr>
          <w:rFonts w:hint="eastAsia" w:ascii="宋体" w:hAnsi="宋体" w:eastAsia="仿宋_GB2312"/>
          <w:color w:val="000000" w:themeColor="text1"/>
          <w:sz w:val="32"/>
          <w:szCs w:val="32"/>
          <w:shd w:val="clear" w:color="auto" w:fill="FFFFFF"/>
          <w14:textFill>
            <w14:solidFill>
              <w14:schemeClr w14:val="tx1"/>
            </w14:solidFill>
          </w14:textFill>
        </w:rPr>
        <w:t>项行业标准制修订计划的通知》</w:t>
      </w:r>
      <w:r>
        <w:rPr>
          <w:rFonts w:hint="eastAsia" w:ascii="宋体" w:hAnsi="宋体" w:eastAsia="仿宋_GB2312"/>
          <w:sz w:val="32"/>
          <w:szCs w:val="32"/>
        </w:rPr>
        <w:t>，本文件制定项目正式立项，工作组开展本文件初稿编制。</w:t>
      </w:r>
    </w:p>
    <w:p w14:paraId="33637ED9">
      <w:pPr>
        <w:spacing w:line="560" w:lineRule="exact"/>
        <w:ind w:firstLine="640" w:firstLineChars="200"/>
        <w:rPr>
          <w:rFonts w:hint="eastAsia" w:ascii="宋体" w:hAnsi="宋体" w:eastAsia="仿宋_GB2312" w:cs="Times New Roman"/>
          <w:i w:val="0"/>
          <w:iCs/>
          <w:color w:val="auto"/>
          <w:sz w:val="32"/>
          <w:szCs w:val="32"/>
          <w:lang w:val="en-US" w:eastAsia="zh-CN"/>
        </w:rPr>
      </w:pPr>
      <w:r>
        <w:rPr>
          <w:rFonts w:hint="eastAsia" w:ascii="宋体" w:hAnsi="宋体" w:eastAsia="仿宋_GB2312" w:cs="Times New Roman"/>
          <w:i w:val="0"/>
          <w:iCs/>
          <w:color w:val="auto"/>
          <w:sz w:val="32"/>
          <w:szCs w:val="32"/>
          <w:lang w:val="en-US" w:eastAsia="zh-CN"/>
        </w:rPr>
        <w:t>2.起草阶段</w:t>
      </w:r>
    </w:p>
    <w:p w14:paraId="30679220">
      <w:pPr>
        <w:spacing w:line="560" w:lineRule="exact"/>
        <w:ind w:firstLine="616" w:firstLineChars="200"/>
        <w:rPr>
          <w:rFonts w:hint="default" w:ascii="宋体" w:hAnsi="宋体" w:eastAsia="仿宋_GB2312" w:cs="仿宋_GB2312"/>
          <w:spacing w:val="-6"/>
          <w:kern w:val="0"/>
          <w:sz w:val="32"/>
          <w:szCs w:val="32"/>
          <w:lang w:val="en-US" w:eastAsia="zh-CN" w:bidi="ar-SA"/>
        </w:rPr>
      </w:pPr>
      <w:r>
        <w:rPr>
          <w:rFonts w:hint="eastAsia" w:ascii="宋体" w:hAnsi="宋体" w:eastAsia="仿宋_GB2312" w:cs="仿宋_GB2312"/>
          <w:spacing w:val="-6"/>
          <w:kern w:val="0"/>
          <w:sz w:val="32"/>
          <w:szCs w:val="32"/>
          <w:lang w:val="en-US" w:eastAsia="zh-CN" w:bidi="ar-SA"/>
        </w:rPr>
        <w:t>2026年3月-5月，</w:t>
      </w:r>
      <w:r>
        <w:rPr>
          <w:rFonts w:hint="default" w:ascii="宋体" w:hAnsi="宋体" w:eastAsia="仿宋_GB2312" w:cs="仿宋_GB2312"/>
          <w:spacing w:val="-6"/>
          <w:kern w:val="0"/>
          <w:sz w:val="32"/>
          <w:szCs w:val="32"/>
          <w:lang w:val="en-US" w:eastAsia="zh-CN" w:bidi="ar-SA"/>
        </w:rPr>
        <w:t>牵头单位</w:t>
      </w:r>
      <w:r>
        <w:rPr>
          <w:rFonts w:hint="eastAsia" w:ascii="宋体" w:hAnsi="宋体" w:eastAsia="仿宋_GB2312" w:cs="仿宋_GB2312"/>
          <w:spacing w:val="-6"/>
          <w:kern w:val="0"/>
          <w:sz w:val="32"/>
          <w:szCs w:val="32"/>
          <w:lang w:val="en-US" w:eastAsia="zh-CN" w:bidi="ar-SA"/>
        </w:rPr>
        <w:t>中海油安全技术服务有限公司</w:t>
      </w:r>
      <w:r>
        <w:rPr>
          <w:rFonts w:hint="default" w:ascii="宋体" w:hAnsi="宋体" w:eastAsia="仿宋_GB2312" w:cs="仿宋_GB2312"/>
          <w:spacing w:val="-6"/>
          <w:kern w:val="0"/>
          <w:sz w:val="32"/>
          <w:szCs w:val="32"/>
          <w:lang w:val="en-US" w:eastAsia="zh-CN" w:bidi="ar-SA"/>
        </w:rPr>
        <w:t>组织参编单位商讨标准编制思路，</w:t>
      </w:r>
      <w:r>
        <w:rPr>
          <w:rFonts w:hint="eastAsia" w:ascii="宋体" w:hAnsi="宋体" w:eastAsia="仿宋_GB2312" w:cs="仿宋_GB2312"/>
          <w:spacing w:val="-6"/>
          <w:kern w:val="0"/>
          <w:sz w:val="32"/>
          <w:szCs w:val="32"/>
          <w:lang w:val="en-US" w:eastAsia="zh-CN" w:bidi="ar-SA"/>
        </w:rPr>
        <w:t>确定</w:t>
      </w:r>
      <w:r>
        <w:rPr>
          <w:rFonts w:hint="default" w:ascii="宋体" w:hAnsi="宋体" w:eastAsia="仿宋_GB2312" w:cs="仿宋_GB2312"/>
          <w:spacing w:val="-6"/>
          <w:kern w:val="0"/>
          <w:sz w:val="32"/>
          <w:szCs w:val="32"/>
          <w:lang w:val="en-US" w:eastAsia="zh-CN" w:bidi="ar-SA"/>
        </w:rPr>
        <w:t>标准编写框架结构</w:t>
      </w:r>
      <w:r>
        <w:rPr>
          <w:rFonts w:hint="eastAsia" w:ascii="宋体" w:hAnsi="宋体" w:eastAsia="仿宋_GB2312" w:cs="仿宋_GB2312"/>
          <w:spacing w:val="-6"/>
          <w:kern w:val="0"/>
          <w:sz w:val="32"/>
          <w:szCs w:val="32"/>
          <w:lang w:val="en-US" w:eastAsia="zh-CN" w:bidi="ar-SA"/>
        </w:rPr>
        <w:t>，结合海洋石油天然气企业安全现状评价目前存在的主要问题，各起草单位讨论了标准草案，并按照职责分工起草</w:t>
      </w:r>
      <w:r>
        <w:rPr>
          <w:rFonts w:hint="eastAsia" w:ascii="仿宋_GB2312" w:hAnsi="Times New Roman" w:eastAsia="仿宋_GB2312" w:cs="Times New Roman"/>
          <w:sz w:val="32"/>
          <w:szCs w:val="32"/>
          <w:shd w:val="clear" w:color="auto" w:fill="FFFFFF"/>
          <w:lang w:val="en-US" w:eastAsia="zh-CN"/>
        </w:rPr>
        <w:t>形成初稿，召开首次专家咨询，开展专题讨论</w:t>
      </w:r>
      <w:r>
        <w:rPr>
          <w:rFonts w:hint="default" w:ascii="宋体" w:hAnsi="宋体" w:eastAsia="仿宋_GB2312" w:cs="仿宋_GB2312"/>
          <w:spacing w:val="-6"/>
          <w:kern w:val="0"/>
          <w:sz w:val="32"/>
          <w:szCs w:val="32"/>
          <w:lang w:val="en-US" w:eastAsia="zh-CN" w:bidi="ar-SA"/>
        </w:rPr>
        <w:t>。</w:t>
      </w:r>
    </w:p>
    <w:p w14:paraId="16F6F07A">
      <w:pPr>
        <w:spacing w:line="560" w:lineRule="exact"/>
        <w:ind w:firstLine="616" w:firstLineChars="200"/>
        <w:rPr>
          <w:rFonts w:hint="eastAsia" w:ascii="宋体" w:hAnsi="宋体" w:eastAsia="仿宋_GB2312"/>
          <w:sz w:val="32"/>
          <w:szCs w:val="32"/>
        </w:rPr>
      </w:pPr>
      <w:r>
        <w:rPr>
          <w:rFonts w:hint="eastAsia" w:ascii="宋体" w:hAnsi="宋体" w:eastAsia="仿宋_GB2312" w:cs="仿宋_GB2312"/>
          <w:spacing w:val="-6"/>
          <w:kern w:val="0"/>
          <w:sz w:val="32"/>
          <w:szCs w:val="32"/>
          <w:lang w:val="en-US" w:eastAsia="zh-CN" w:bidi="ar-SA"/>
        </w:rPr>
        <w:t>2026年6月-7月，起草工作组</w:t>
      </w:r>
      <w:r>
        <w:rPr>
          <w:rFonts w:hint="eastAsia" w:ascii="仿宋_GB2312" w:hAnsi="Times New Roman" w:eastAsia="仿宋_GB2312" w:cs="Times New Roman"/>
          <w:sz w:val="32"/>
          <w:szCs w:val="32"/>
          <w:shd w:val="clear" w:color="auto" w:fill="FFFFFF"/>
          <w:lang w:val="en-US" w:eastAsia="zh-CN"/>
        </w:rPr>
        <w:t>根据专家讨论会意见修改完善标准，再次</w:t>
      </w:r>
      <w:r>
        <w:rPr>
          <w:rFonts w:hint="default" w:ascii="宋体" w:hAnsi="宋体" w:eastAsia="仿宋_GB2312" w:cs="仿宋_GB2312"/>
          <w:spacing w:val="-6"/>
          <w:kern w:val="0"/>
          <w:sz w:val="32"/>
          <w:szCs w:val="32"/>
          <w:lang w:val="en-US" w:eastAsia="zh-CN" w:bidi="ar-SA"/>
        </w:rPr>
        <w:t>组织参编单位商讨标准</w:t>
      </w:r>
      <w:r>
        <w:rPr>
          <w:rFonts w:hint="eastAsia" w:ascii="宋体" w:hAnsi="宋体" w:eastAsia="仿宋_GB2312" w:cs="仿宋_GB2312"/>
          <w:spacing w:val="-6"/>
          <w:kern w:val="0"/>
          <w:sz w:val="32"/>
          <w:szCs w:val="32"/>
          <w:lang w:val="en-US" w:eastAsia="zh-CN" w:bidi="ar-SA"/>
        </w:rPr>
        <w:t>内容，并</w:t>
      </w:r>
      <w:r>
        <w:rPr>
          <w:rFonts w:hint="eastAsia" w:ascii="仿宋_GB2312" w:eastAsia="仿宋_GB2312"/>
          <w:sz w:val="32"/>
          <w:szCs w:val="32"/>
          <w:shd w:val="clear" w:color="auto" w:fill="FFFFFF"/>
        </w:rPr>
        <w:t>进一步修订完善</w:t>
      </w:r>
      <w:r>
        <w:rPr>
          <w:rFonts w:hint="eastAsia" w:ascii="宋体" w:hAnsi="宋体" w:eastAsia="仿宋_GB2312" w:cs="仿宋_GB2312"/>
          <w:spacing w:val="-6"/>
          <w:kern w:val="0"/>
          <w:sz w:val="32"/>
          <w:szCs w:val="32"/>
          <w:lang w:val="en-US" w:eastAsia="zh-CN" w:bidi="ar-SA"/>
        </w:rPr>
        <w:t>。</w:t>
      </w:r>
    </w:p>
    <w:p w14:paraId="3D49D869">
      <w:pPr>
        <w:spacing w:line="560" w:lineRule="exact"/>
        <w:ind w:firstLine="640" w:firstLineChars="200"/>
        <w:rPr>
          <w:rFonts w:hint="eastAsia" w:ascii="宋体" w:hAnsi="宋体" w:eastAsia="仿宋_GB2312"/>
          <w:sz w:val="32"/>
          <w:szCs w:val="32"/>
        </w:rPr>
      </w:pPr>
      <w:r>
        <w:rPr>
          <w:rFonts w:ascii="宋体" w:hAnsi="宋体" w:eastAsia="仿宋_GB2312" w:cs="仿宋_GB2312"/>
          <w:sz w:val="32"/>
          <w:szCs w:val="32"/>
          <w:lang w:bidi="ar"/>
        </w:rPr>
        <w:t>3</w:t>
      </w:r>
      <w:r>
        <w:rPr>
          <w:rFonts w:hint="eastAsia" w:ascii="宋体" w:hAnsi="宋体" w:eastAsia="仿宋_GB2312" w:cs="仿宋_GB2312"/>
          <w:sz w:val="32"/>
          <w:szCs w:val="32"/>
          <w:lang w:bidi="ar"/>
        </w:rPr>
        <w:t>.征求意见阶段</w:t>
      </w:r>
    </w:p>
    <w:p w14:paraId="4891F4FF">
      <w:pPr>
        <w:spacing w:line="560" w:lineRule="exact"/>
        <w:ind w:firstLine="620" w:firstLineChars="200"/>
        <w:rPr>
          <w:rFonts w:hint="eastAsia" w:ascii="宋体" w:hAnsi="宋体" w:eastAsia="仿宋_GB2312"/>
          <w:color w:val="000000" w:themeColor="text1"/>
          <w:sz w:val="32"/>
          <w:szCs w:val="32"/>
          <w:shd w:val="clear" w:color="auto" w:fill="FFFFFF"/>
          <w:lang w:val="en-US" w:eastAsia="zh-CN"/>
          <w14:textFill>
            <w14:solidFill>
              <w14:schemeClr w14:val="tx1"/>
            </w14:solidFill>
          </w14:textFill>
        </w:rPr>
      </w:pPr>
      <w:r>
        <w:rPr>
          <w:rFonts w:hint="eastAsia" w:ascii="仿宋_GB2312" w:hAnsi="仿宋_GB2312" w:eastAsia="仿宋_GB2312" w:cs="仿宋_GB2312"/>
          <w:spacing w:val="-5"/>
          <w:kern w:val="0"/>
          <w:sz w:val="32"/>
          <w:szCs w:val="32"/>
        </w:rPr>
        <w:t>2026年9月，石油安全分标委组织6家起草单位对标准进行了研讨，同时征求了应急管理部的意见，修改完善形成了标准征求意见稿</w:t>
      </w:r>
      <w:r>
        <w:rPr>
          <w:rFonts w:hint="eastAsia" w:ascii="仿宋_GB2312" w:hAnsi="仿宋_GB2312" w:eastAsia="仿宋_GB2312" w:cs="仿宋_GB2312"/>
          <w:spacing w:val="-5"/>
          <w:kern w:val="0"/>
          <w:sz w:val="32"/>
          <w:szCs w:val="32"/>
          <w:lang w:eastAsia="zh-CN"/>
        </w:rPr>
        <w:t>。</w:t>
      </w:r>
    </w:p>
    <w:p w14:paraId="34C4E614">
      <w:pPr>
        <w:widowControl/>
        <w:spacing w:line="560" w:lineRule="exact"/>
        <w:ind w:firstLine="640" w:firstLineChars="200"/>
        <w:outlineLvl w:val="0"/>
        <w:rPr>
          <w:rFonts w:hint="eastAsia" w:ascii="黑体" w:hAnsi="黑体" w:eastAsia="黑体"/>
          <w:sz w:val="32"/>
          <w:szCs w:val="32"/>
          <w:lang w:eastAsia="zh-CN"/>
        </w:rPr>
      </w:pPr>
      <w:r>
        <w:rPr>
          <w:rFonts w:hint="eastAsia" w:ascii="黑体" w:hAnsi="黑体" w:eastAsia="黑体"/>
          <w:sz w:val="32"/>
          <w:szCs w:val="32"/>
          <w:lang w:val="en-US" w:eastAsia="zh-CN"/>
        </w:rPr>
        <w:t>二、</w:t>
      </w:r>
      <w:r>
        <w:rPr>
          <w:rFonts w:hint="eastAsia" w:ascii="黑体" w:hAnsi="黑体" w:eastAsia="黑体"/>
          <w:sz w:val="32"/>
          <w:szCs w:val="32"/>
        </w:rPr>
        <w:t>标准编制原则</w:t>
      </w:r>
      <w:r>
        <w:rPr>
          <w:rFonts w:hint="eastAsia" w:ascii="黑体" w:hAnsi="黑体" w:eastAsia="黑体"/>
          <w:sz w:val="32"/>
          <w:szCs w:val="32"/>
          <w:lang w:eastAsia="zh-CN"/>
        </w:rPr>
        <w:t>、</w:t>
      </w:r>
      <w:r>
        <w:rPr>
          <w:rFonts w:hint="eastAsia" w:ascii="黑体" w:hAnsi="黑体" w:eastAsia="黑体"/>
          <w:sz w:val="32"/>
          <w:szCs w:val="32"/>
        </w:rPr>
        <w:t>主要</w:t>
      </w:r>
      <w:r>
        <w:rPr>
          <w:rFonts w:hint="eastAsia" w:ascii="黑体" w:hAnsi="黑体" w:eastAsia="黑体"/>
          <w:sz w:val="32"/>
          <w:szCs w:val="32"/>
          <w:lang w:eastAsia="zh-CN"/>
        </w:rPr>
        <w:t>技术</w:t>
      </w:r>
      <w:r>
        <w:rPr>
          <w:rFonts w:hint="eastAsia" w:ascii="黑体" w:hAnsi="黑体" w:eastAsia="黑体"/>
          <w:sz w:val="32"/>
          <w:szCs w:val="32"/>
        </w:rPr>
        <w:t>内容</w:t>
      </w:r>
      <w:r>
        <w:rPr>
          <w:rFonts w:hint="eastAsia" w:ascii="黑体" w:hAnsi="黑体" w:eastAsia="黑体"/>
          <w:sz w:val="32"/>
          <w:szCs w:val="32"/>
          <w:lang w:eastAsia="zh-CN"/>
        </w:rPr>
        <w:t>及其确定依据</w:t>
      </w:r>
    </w:p>
    <w:p w14:paraId="7EEC15EF">
      <w:pPr>
        <w:spacing w:line="560" w:lineRule="exact"/>
        <w:ind w:firstLine="640" w:firstLineChars="200"/>
        <w:rPr>
          <w:rFonts w:hint="eastAsia" w:ascii="楷体" w:hAnsi="楷体" w:eastAsia="楷体"/>
          <w:sz w:val="32"/>
          <w:szCs w:val="32"/>
          <w:shd w:val="clear" w:color="auto" w:fill="FFFFFF"/>
        </w:rPr>
      </w:pPr>
      <w:r>
        <w:rPr>
          <w:rFonts w:hint="eastAsia" w:ascii="楷体" w:hAnsi="楷体" w:eastAsia="楷体"/>
          <w:sz w:val="32"/>
          <w:szCs w:val="32"/>
          <w:shd w:val="clear" w:color="auto" w:fill="FFFFFF"/>
          <w:lang w:eastAsia="zh-CN"/>
        </w:rPr>
        <w:t>（</w:t>
      </w:r>
      <w:r>
        <w:rPr>
          <w:rFonts w:hint="eastAsia" w:ascii="楷体" w:hAnsi="楷体" w:eastAsia="楷体"/>
          <w:sz w:val="32"/>
          <w:szCs w:val="32"/>
          <w:shd w:val="clear" w:color="auto" w:fill="FFFFFF"/>
          <w:lang w:val="en-US" w:eastAsia="zh-CN"/>
        </w:rPr>
        <w:t>一</w:t>
      </w:r>
      <w:r>
        <w:rPr>
          <w:rFonts w:hint="eastAsia" w:ascii="楷体" w:hAnsi="楷体" w:eastAsia="楷体"/>
          <w:sz w:val="32"/>
          <w:szCs w:val="32"/>
          <w:shd w:val="clear" w:color="auto" w:fill="FFFFFF"/>
          <w:lang w:eastAsia="zh-CN"/>
        </w:rPr>
        <w:t>）</w:t>
      </w:r>
      <w:r>
        <w:rPr>
          <w:rFonts w:hint="eastAsia" w:ascii="楷体" w:hAnsi="楷体" w:eastAsia="楷体"/>
          <w:sz w:val="32"/>
          <w:szCs w:val="32"/>
          <w:shd w:val="clear" w:color="auto" w:fill="FFFFFF"/>
        </w:rPr>
        <w:t>标准编制原则</w:t>
      </w:r>
    </w:p>
    <w:p w14:paraId="4A9522A1">
      <w:pPr>
        <w:spacing w:line="560" w:lineRule="exact"/>
        <w:ind w:firstLine="640" w:firstLineChars="200"/>
        <w:rPr>
          <w:rFonts w:hint="eastAsia" w:ascii="宋体" w:hAnsi="宋体" w:eastAsia="仿宋_GB2312"/>
          <w:color w:val="000000" w:themeColor="text1"/>
          <w:sz w:val="32"/>
          <w:szCs w:val="32"/>
          <w:shd w:val="clear" w:color="auto" w:fill="FFFFFF"/>
          <w14:textFill>
            <w14:solidFill>
              <w14:schemeClr w14:val="tx1"/>
            </w14:solidFill>
          </w14:textFill>
        </w:rPr>
      </w:pPr>
      <w:r>
        <w:rPr>
          <w:rFonts w:hint="eastAsia" w:ascii="宋体" w:hAnsi="宋体" w:eastAsia="仿宋_GB2312"/>
          <w:color w:val="000000" w:themeColor="text1"/>
          <w:sz w:val="32"/>
          <w:szCs w:val="32"/>
          <w:shd w:val="clear" w:color="auto" w:fill="FFFFFF"/>
          <w14:textFill>
            <w14:solidFill>
              <w14:schemeClr w14:val="tx1"/>
            </w14:solidFill>
          </w14:textFill>
        </w:rPr>
        <w:t>本文件在制定的过程中严格执行《标准化工作导则</w:t>
      </w:r>
      <w:r>
        <w:rPr>
          <w:rFonts w:ascii="宋体" w:hAnsi="宋体" w:eastAsia="仿宋_GB2312"/>
          <w:color w:val="000000" w:themeColor="text1"/>
          <w:sz w:val="32"/>
          <w:szCs w:val="32"/>
          <w:shd w:val="clear" w:color="auto" w:fill="FFFFFF"/>
          <w14:textFill>
            <w14:solidFill>
              <w14:schemeClr w14:val="tx1"/>
            </w14:solidFill>
          </w14:textFill>
        </w:rPr>
        <w:t xml:space="preserve"> </w:t>
      </w:r>
      <w:r>
        <w:rPr>
          <w:rFonts w:hint="eastAsia" w:ascii="宋体" w:hAnsi="宋体" w:eastAsia="仿宋_GB2312"/>
          <w:color w:val="000000" w:themeColor="text1"/>
          <w:sz w:val="32"/>
          <w:szCs w:val="32"/>
          <w:shd w:val="clear" w:color="auto" w:fill="FFFFFF"/>
          <w14:textFill>
            <w14:solidFill>
              <w14:schemeClr w14:val="tx1"/>
            </w14:solidFill>
          </w14:textFill>
        </w:rPr>
        <w:t>第</w:t>
      </w:r>
      <w:r>
        <w:rPr>
          <w:rFonts w:ascii="宋体" w:hAnsi="宋体" w:eastAsia="仿宋_GB2312"/>
          <w:color w:val="000000" w:themeColor="text1"/>
          <w:sz w:val="32"/>
          <w:szCs w:val="32"/>
          <w:shd w:val="clear" w:color="auto" w:fill="FFFFFF"/>
          <w14:textFill>
            <w14:solidFill>
              <w14:schemeClr w14:val="tx1"/>
            </w14:solidFill>
          </w14:textFill>
        </w:rPr>
        <w:t>1</w:t>
      </w:r>
      <w:r>
        <w:rPr>
          <w:rFonts w:hint="eastAsia" w:ascii="宋体" w:hAnsi="宋体" w:eastAsia="仿宋_GB2312"/>
          <w:color w:val="000000" w:themeColor="text1"/>
          <w:sz w:val="32"/>
          <w:szCs w:val="32"/>
          <w:shd w:val="clear" w:color="auto" w:fill="FFFFFF"/>
          <w14:textFill>
            <w14:solidFill>
              <w14:schemeClr w14:val="tx1"/>
            </w14:solidFill>
          </w14:textFill>
        </w:rPr>
        <w:t>部分：标准化文件的结构和起草规则》（</w:t>
      </w:r>
      <w:r>
        <w:rPr>
          <w:rFonts w:ascii="宋体" w:hAnsi="宋体" w:eastAsia="仿宋_GB2312"/>
          <w:color w:val="000000" w:themeColor="text1"/>
          <w:sz w:val="32"/>
          <w:szCs w:val="32"/>
          <w:shd w:val="clear" w:color="auto" w:fill="FFFFFF"/>
          <w14:textFill>
            <w14:solidFill>
              <w14:schemeClr w14:val="tx1"/>
            </w14:solidFill>
          </w14:textFill>
        </w:rPr>
        <w:t>GB/T 1.1-2020</w:t>
      </w:r>
      <w:r>
        <w:rPr>
          <w:rFonts w:hint="eastAsia" w:ascii="宋体" w:hAnsi="宋体" w:eastAsia="仿宋_GB2312"/>
          <w:color w:val="000000" w:themeColor="text1"/>
          <w:sz w:val="32"/>
          <w:szCs w:val="32"/>
          <w:shd w:val="clear" w:color="auto" w:fill="FFFFFF"/>
          <w14:textFill>
            <w14:solidFill>
              <w14:schemeClr w14:val="tx1"/>
            </w14:solidFill>
          </w14:textFill>
        </w:rPr>
        <w:t>）的要求，对标准进行认真的策划和编排，确保标准层次清楚、逻辑严谨、条理通顺、便于操作。</w:t>
      </w:r>
    </w:p>
    <w:p w14:paraId="648074B6">
      <w:pPr>
        <w:spacing w:line="560" w:lineRule="exact"/>
        <w:ind w:firstLine="640" w:firstLineChars="200"/>
        <w:rPr>
          <w:rFonts w:hint="eastAsia" w:ascii="宋体" w:hAnsi="宋体" w:eastAsia="仿宋_GB2312"/>
          <w:color w:val="000000" w:themeColor="text1"/>
          <w:sz w:val="32"/>
          <w:szCs w:val="32"/>
          <w:shd w:val="clear" w:color="auto" w:fill="FFFFFF"/>
          <w14:textFill>
            <w14:solidFill>
              <w14:schemeClr w14:val="tx1"/>
            </w14:solidFill>
          </w14:textFill>
        </w:rPr>
      </w:pPr>
      <w:r>
        <w:rPr>
          <w:rFonts w:ascii="宋体" w:hAnsi="宋体" w:eastAsia="仿宋_GB2312"/>
          <w:color w:val="000000" w:themeColor="text1"/>
          <w:sz w:val="32"/>
          <w:szCs w:val="32"/>
          <w:shd w:val="clear" w:color="auto" w:fill="FFFFFF"/>
          <w14:textFill>
            <w14:solidFill>
              <w14:schemeClr w14:val="tx1"/>
            </w14:solidFill>
          </w14:textFill>
        </w:rPr>
        <w:t>1.</w:t>
      </w:r>
      <w:r>
        <w:rPr>
          <w:rFonts w:hint="eastAsia" w:ascii="宋体" w:hAnsi="宋体" w:eastAsia="仿宋_GB2312"/>
          <w:color w:val="000000" w:themeColor="text1"/>
          <w:sz w:val="32"/>
          <w:szCs w:val="32"/>
          <w:shd w:val="clear" w:color="auto" w:fill="FFFFFF"/>
          <w14:textFill>
            <w14:solidFill>
              <w14:schemeClr w14:val="tx1"/>
            </w14:solidFill>
          </w14:textFill>
        </w:rPr>
        <w:t>协调性</w:t>
      </w:r>
    </w:p>
    <w:p w14:paraId="7AF2322A">
      <w:pPr>
        <w:spacing w:line="560" w:lineRule="exact"/>
        <w:ind w:firstLine="640" w:firstLineChars="200"/>
        <w:rPr>
          <w:rFonts w:hint="eastAsia" w:ascii="宋体" w:hAnsi="宋体" w:eastAsia="仿宋_GB2312"/>
          <w:color w:val="000000" w:themeColor="text1"/>
          <w:sz w:val="32"/>
          <w:szCs w:val="32"/>
          <w:shd w:val="clear" w:color="auto" w:fill="FFFFFF"/>
          <w14:textFill>
            <w14:solidFill>
              <w14:schemeClr w14:val="tx1"/>
            </w14:solidFill>
          </w14:textFill>
        </w:rPr>
      </w:pPr>
      <w:r>
        <w:rPr>
          <w:rFonts w:hint="eastAsia" w:ascii="宋体" w:hAnsi="宋体" w:eastAsia="仿宋_GB2312"/>
          <w:color w:val="000000" w:themeColor="text1"/>
          <w:sz w:val="32"/>
          <w:szCs w:val="32"/>
          <w:shd w:val="clear" w:color="auto" w:fill="FFFFFF"/>
          <w14:textFill>
            <w14:solidFill>
              <w14:schemeClr w14:val="tx1"/>
            </w14:solidFill>
          </w14:textFill>
        </w:rPr>
        <w:t>标准编制保持与现行法律法规、规章规范的协调性，同时具体条款不能与上一级法规要求相冲突。</w:t>
      </w:r>
    </w:p>
    <w:p w14:paraId="75CE067A">
      <w:pPr>
        <w:spacing w:line="560" w:lineRule="exact"/>
        <w:ind w:firstLine="640" w:firstLineChars="200"/>
        <w:rPr>
          <w:rFonts w:hint="eastAsia" w:ascii="宋体" w:hAnsi="宋体" w:eastAsia="仿宋_GB2312"/>
          <w:color w:val="000000" w:themeColor="text1"/>
          <w:sz w:val="32"/>
          <w:szCs w:val="32"/>
          <w:shd w:val="clear" w:color="auto" w:fill="FFFFFF"/>
          <w14:textFill>
            <w14:solidFill>
              <w14:schemeClr w14:val="tx1"/>
            </w14:solidFill>
          </w14:textFill>
        </w:rPr>
      </w:pPr>
      <w:r>
        <w:rPr>
          <w:rFonts w:ascii="宋体" w:hAnsi="宋体" w:eastAsia="仿宋_GB2312"/>
          <w:color w:val="000000" w:themeColor="text1"/>
          <w:sz w:val="32"/>
          <w:szCs w:val="32"/>
          <w:shd w:val="clear" w:color="auto" w:fill="FFFFFF"/>
          <w14:textFill>
            <w14:solidFill>
              <w14:schemeClr w14:val="tx1"/>
            </w14:solidFill>
          </w14:textFill>
        </w:rPr>
        <w:t>2.</w:t>
      </w:r>
      <w:r>
        <w:rPr>
          <w:rFonts w:hint="eastAsia" w:ascii="宋体" w:hAnsi="宋体" w:eastAsia="仿宋_GB2312"/>
          <w:color w:val="000000" w:themeColor="text1"/>
          <w:sz w:val="32"/>
          <w:szCs w:val="32"/>
          <w:shd w:val="clear" w:color="auto" w:fill="FFFFFF"/>
          <w14:textFill>
            <w14:solidFill>
              <w14:schemeClr w14:val="tx1"/>
            </w14:solidFill>
          </w14:textFill>
        </w:rPr>
        <w:t>适用性</w:t>
      </w:r>
    </w:p>
    <w:p w14:paraId="653778CF">
      <w:pPr>
        <w:spacing w:line="560" w:lineRule="exact"/>
        <w:ind w:firstLine="640" w:firstLineChars="200"/>
        <w:rPr>
          <w:rFonts w:hint="eastAsia" w:ascii="宋体" w:hAnsi="宋体" w:eastAsia="仿宋_GB2312"/>
          <w:color w:val="000000" w:themeColor="text1"/>
          <w:sz w:val="32"/>
          <w:szCs w:val="32"/>
          <w:shd w:val="clear" w:color="auto" w:fill="FFFFFF"/>
          <w14:textFill>
            <w14:solidFill>
              <w14:schemeClr w14:val="tx1"/>
            </w14:solidFill>
          </w14:textFill>
        </w:rPr>
      </w:pPr>
      <w:r>
        <w:rPr>
          <w:rFonts w:hint="eastAsia" w:ascii="宋体" w:hAnsi="宋体" w:eastAsia="仿宋_GB2312"/>
          <w:color w:val="000000" w:themeColor="text1"/>
          <w:sz w:val="32"/>
          <w:szCs w:val="32"/>
          <w:shd w:val="clear" w:color="auto" w:fill="FFFFFF"/>
          <w14:textFill>
            <w14:solidFill>
              <w14:schemeClr w14:val="tx1"/>
            </w14:solidFill>
          </w14:textFill>
        </w:rPr>
        <w:t>广泛收集目前现行法律、法规、标准、规范中的相关要求，充分调研了解</w:t>
      </w:r>
      <w:r>
        <w:rPr>
          <w:rFonts w:hint="eastAsia" w:ascii="宋体" w:hAnsi="宋体" w:eastAsia="仿宋_GB2312" w:cs="Times New Roman"/>
          <w:i w:val="0"/>
          <w:iCs/>
          <w:color w:val="auto"/>
          <w:sz w:val="32"/>
          <w:szCs w:val="32"/>
          <w:highlight w:val="none"/>
          <w:lang w:val="en-US" w:eastAsia="zh-CN"/>
        </w:rPr>
        <w:t>海洋石油天然气企业安全现状评价的现状</w:t>
      </w:r>
      <w:r>
        <w:rPr>
          <w:rFonts w:hint="eastAsia" w:ascii="宋体" w:hAnsi="宋体" w:eastAsia="仿宋_GB2312"/>
          <w:color w:val="000000" w:themeColor="text1"/>
          <w:sz w:val="32"/>
          <w:szCs w:val="32"/>
          <w:shd w:val="clear" w:color="auto" w:fill="FFFFFF"/>
          <w14:textFill>
            <w14:solidFill>
              <w14:schemeClr w14:val="tx1"/>
            </w14:solidFill>
          </w14:textFill>
        </w:rPr>
        <w:t>，确保标准条款与行业发展实际相结合，确保标准的适用性。</w:t>
      </w:r>
    </w:p>
    <w:p w14:paraId="293A137B">
      <w:pPr>
        <w:spacing w:line="560" w:lineRule="exact"/>
        <w:ind w:firstLine="640" w:firstLineChars="200"/>
        <w:rPr>
          <w:rFonts w:hint="eastAsia" w:ascii="宋体" w:hAnsi="宋体" w:eastAsia="仿宋_GB2312"/>
          <w:color w:val="000000" w:themeColor="text1"/>
          <w:sz w:val="32"/>
          <w:szCs w:val="32"/>
          <w:shd w:val="clear" w:color="auto" w:fill="FFFFFF"/>
          <w14:textFill>
            <w14:solidFill>
              <w14:schemeClr w14:val="tx1"/>
            </w14:solidFill>
          </w14:textFill>
        </w:rPr>
      </w:pPr>
      <w:r>
        <w:rPr>
          <w:rFonts w:ascii="宋体" w:hAnsi="宋体" w:eastAsia="仿宋_GB2312"/>
          <w:color w:val="000000" w:themeColor="text1"/>
          <w:sz w:val="32"/>
          <w:szCs w:val="32"/>
          <w:shd w:val="clear" w:color="auto" w:fill="FFFFFF"/>
          <w14:textFill>
            <w14:solidFill>
              <w14:schemeClr w14:val="tx1"/>
            </w14:solidFill>
          </w14:textFill>
        </w:rPr>
        <w:t>3.</w:t>
      </w:r>
      <w:r>
        <w:rPr>
          <w:rFonts w:hint="eastAsia" w:ascii="宋体" w:hAnsi="宋体" w:eastAsia="仿宋_GB2312"/>
          <w:color w:val="000000" w:themeColor="text1"/>
          <w:sz w:val="32"/>
          <w:szCs w:val="32"/>
          <w:shd w:val="clear" w:color="auto" w:fill="FFFFFF"/>
          <w14:textFill>
            <w14:solidFill>
              <w14:schemeClr w14:val="tx1"/>
            </w14:solidFill>
          </w14:textFill>
        </w:rPr>
        <w:t>科学性</w:t>
      </w:r>
    </w:p>
    <w:p w14:paraId="107D0A00">
      <w:pPr>
        <w:spacing w:line="560" w:lineRule="exact"/>
        <w:ind w:firstLine="640" w:firstLineChars="200"/>
        <w:rPr>
          <w:rFonts w:hint="eastAsia" w:ascii="宋体" w:hAnsi="宋体" w:eastAsia="仿宋_GB2312"/>
          <w:color w:val="000000" w:themeColor="text1"/>
          <w:sz w:val="32"/>
          <w:szCs w:val="32"/>
          <w:shd w:val="clear" w:color="auto" w:fill="FFFFFF"/>
          <w14:textFill>
            <w14:solidFill>
              <w14:schemeClr w14:val="tx1"/>
            </w14:solidFill>
          </w14:textFill>
        </w:rPr>
      </w:pPr>
      <w:r>
        <w:rPr>
          <w:rFonts w:hint="eastAsia" w:ascii="宋体" w:hAnsi="宋体" w:eastAsia="仿宋_GB2312"/>
          <w:color w:val="000000" w:themeColor="text1"/>
          <w:sz w:val="32"/>
          <w:szCs w:val="32"/>
          <w:shd w:val="clear" w:color="auto" w:fill="FFFFFF"/>
          <w14:textFill>
            <w14:solidFill>
              <w14:schemeClr w14:val="tx1"/>
            </w14:solidFill>
          </w14:textFill>
        </w:rPr>
        <w:t>借鉴了国家标准和行业标准。起草工作组充分总结、吸收</w:t>
      </w:r>
      <w:r>
        <w:rPr>
          <w:rFonts w:hint="eastAsia" w:ascii="宋体" w:hAnsi="宋体" w:eastAsia="仿宋_GB2312" w:cs="Times New Roman"/>
          <w:i w:val="0"/>
          <w:iCs/>
          <w:color w:val="auto"/>
          <w:sz w:val="32"/>
          <w:szCs w:val="32"/>
          <w:highlight w:val="none"/>
          <w:lang w:val="en-US" w:eastAsia="zh-CN"/>
        </w:rPr>
        <w:t>海洋石油天然气企业安全现状评价</w:t>
      </w:r>
      <w:r>
        <w:rPr>
          <w:rFonts w:hint="eastAsia" w:ascii="宋体" w:hAnsi="宋体" w:eastAsia="仿宋_GB2312"/>
          <w:color w:val="000000" w:themeColor="text1"/>
          <w:sz w:val="32"/>
          <w:szCs w:val="32"/>
          <w:shd w:val="clear" w:color="auto" w:fill="FFFFFF"/>
          <w14:textFill>
            <w14:solidFill>
              <w14:schemeClr w14:val="tx1"/>
            </w14:solidFill>
          </w14:textFill>
        </w:rPr>
        <w:t>行业现行做法与经验，保证本文件的科学性。</w:t>
      </w:r>
    </w:p>
    <w:p w14:paraId="6E6E5B25">
      <w:pPr>
        <w:spacing w:line="560" w:lineRule="exact"/>
        <w:ind w:firstLine="640" w:firstLineChars="200"/>
        <w:rPr>
          <w:rFonts w:hint="eastAsia" w:ascii="宋体" w:hAnsi="宋体" w:eastAsia="仿宋_GB2312"/>
          <w:color w:val="000000" w:themeColor="text1"/>
          <w:sz w:val="32"/>
          <w:szCs w:val="32"/>
          <w:shd w:val="clear" w:color="auto" w:fill="FFFFFF"/>
          <w14:textFill>
            <w14:solidFill>
              <w14:schemeClr w14:val="tx1"/>
            </w14:solidFill>
          </w14:textFill>
        </w:rPr>
      </w:pPr>
      <w:r>
        <w:rPr>
          <w:rFonts w:ascii="宋体" w:hAnsi="宋体" w:eastAsia="仿宋_GB2312"/>
          <w:color w:val="000000" w:themeColor="text1"/>
          <w:sz w:val="32"/>
          <w:szCs w:val="32"/>
          <w:shd w:val="clear" w:color="auto" w:fill="FFFFFF"/>
          <w14:textFill>
            <w14:solidFill>
              <w14:schemeClr w14:val="tx1"/>
            </w14:solidFill>
          </w14:textFill>
        </w:rPr>
        <w:t>4.</w:t>
      </w:r>
      <w:r>
        <w:rPr>
          <w:rFonts w:hint="eastAsia" w:ascii="宋体" w:hAnsi="宋体" w:eastAsia="仿宋_GB2312"/>
          <w:color w:val="000000" w:themeColor="text1"/>
          <w:sz w:val="32"/>
          <w:szCs w:val="32"/>
          <w:shd w:val="clear" w:color="auto" w:fill="FFFFFF"/>
          <w14:textFill>
            <w14:solidFill>
              <w14:schemeClr w14:val="tx1"/>
            </w14:solidFill>
          </w14:textFill>
        </w:rPr>
        <w:t>可执行性</w:t>
      </w:r>
    </w:p>
    <w:p w14:paraId="74203E6E">
      <w:pPr>
        <w:spacing w:line="560" w:lineRule="exact"/>
        <w:ind w:firstLine="640" w:firstLineChars="200"/>
        <w:rPr>
          <w:rFonts w:hint="eastAsia" w:ascii="宋体" w:hAnsi="宋体" w:eastAsia="仿宋_GB2312"/>
          <w:color w:val="000000" w:themeColor="text1"/>
          <w:sz w:val="32"/>
          <w:szCs w:val="32"/>
          <w:shd w:val="clear" w:color="auto" w:fill="FFFFFF"/>
          <w14:textFill>
            <w14:solidFill>
              <w14:schemeClr w14:val="tx1"/>
            </w14:solidFill>
          </w14:textFill>
        </w:rPr>
      </w:pPr>
      <w:r>
        <w:rPr>
          <w:rFonts w:hint="eastAsia" w:ascii="宋体" w:hAnsi="宋体" w:eastAsia="仿宋_GB2312"/>
          <w:color w:val="000000" w:themeColor="text1"/>
          <w:sz w:val="32"/>
          <w:szCs w:val="32"/>
          <w:shd w:val="clear" w:color="auto" w:fill="FFFFFF"/>
          <w14:textFill>
            <w14:solidFill>
              <w14:schemeClr w14:val="tx1"/>
            </w14:solidFill>
          </w14:textFill>
        </w:rPr>
        <w:t>本文件条款内容广泛征求相关单位的意见建议，对于反馈的意见建议组织起草工作组专题讨论、验证，采纳吸收科学合理的意见建议，确保本文件内容贴近行业实际需求，兼顾本文件的可执行性。</w:t>
      </w:r>
    </w:p>
    <w:p w14:paraId="59DEBB49">
      <w:pPr>
        <w:numPr>
          <w:ilvl w:val="0"/>
          <w:numId w:val="43"/>
        </w:numPr>
        <w:spacing w:line="560" w:lineRule="exact"/>
        <w:ind w:firstLine="640" w:firstLineChars="200"/>
        <w:rPr>
          <w:rFonts w:hint="eastAsia" w:ascii="楷体" w:hAnsi="楷体" w:eastAsia="楷体"/>
          <w:sz w:val="32"/>
          <w:szCs w:val="32"/>
          <w:highlight w:val="none"/>
          <w:shd w:val="clear" w:color="auto" w:fill="FFFFFF"/>
        </w:rPr>
      </w:pPr>
      <w:r>
        <w:rPr>
          <w:rFonts w:hint="eastAsia" w:ascii="楷体" w:hAnsi="楷体" w:eastAsia="楷体"/>
          <w:sz w:val="32"/>
          <w:szCs w:val="32"/>
          <w:highlight w:val="none"/>
          <w:shd w:val="clear" w:color="auto" w:fill="FFFFFF"/>
        </w:rPr>
        <w:t>标准主要技术内容及确定依据</w:t>
      </w:r>
    </w:p>
    <w:p w14:paraId="2B14211B">
      <w:pPr>
        <w:spacing w:line="560" w:lineRule="exact"/>
        <w:ind w:firstLine="640" w:firstLineChars="200"/>
        <w:rPr>
          <w:rFonts w:hint="default"/>
          <w:lang w:val="en-US" w:eastAsia="zh-CN"/>
        </w:rPr>
      </w:pPr>
      <w:r>
        <w:rPr>
          <w:rFonts w:hint="eastAsia" w:ascii="宋体" w:hAnsi="宋体" w:eastAsia="仿宋_GB2312"/>
          <w:color w:val="000000" w:themeColor="text1"/>
          <w:sz w:val="32"/>
          <w:szCs w:val="32"/>
          <w:shd w:val="clear" w:color="auto" w:fill="FFFFFF"/>
          <w14:textFill>
            <w14:solidFill>
              <w14:schemeClr w14:val="tx1"/>
            </w14:solidFill>
          </w14:textFill>
        </w:rPr>
        <w:t>针对</w:t>
      </w:r>
      <w:r>
        <w:rPr>
          <w:rFonts w:hint="eastAsia" w:ascii="宋体" w:hAnsi="宋体" w:eastAsia="仿宋_GB2312" w:cs="Times New Roman"/>
          <w:i w:val="0"/>
          <w:iCs/>
          <w:color w:val="auto"/>
          <w:sz w:val="32"/>
          <w:szCs w:val="32"/>
          <w:highlight w:val="none"/>
          <w:lang w:val="en-US" w:eastAsia="zh-CN"/>
        </w:rPr>
        <w:t>海洋石油天然气企业的特点和实际需要，</w:t>
      </w:r>
      <w:r>
        <w:rPr>
          <w:rFonts w:hint="eastAsia" w:ascii="宋体" w:hAnsi="宋体" w:eastAsia="仿宋_GB2312"/>
          <w:color w:val="000000" w:themeColor="text1"/>
          <w:sz w:val="32"/>
          <w:szCs w:val="32"/>
          <w:shd w:val="clear" w:color="auto" w:fill="FFFFFF"/>
          <w14:textFill>
            <w14:solidFill>
              <w14:schemeClr w14:val="tx1"/>
            </w14:solidFill>
          </w14:textFill>
        </w:rPr>
        <w:t>结合多年的工作经验和技术成果，提出</w:t>
      </w:r>
      <w:r>
        <w:rPr>
          <w:rFonts w:hint="eastAsia" w:ascii="宋体" w:hAnsi="宋体" w:eastAsia="仿宋_GB2312" w:cs="Times New Roman"/>
          <w:i w:val="0"/>
          <w:iCs/>
          <w:color w:val="auto"/>
          <w:sz w:val="32"/>
          <w:szCs w:val="32"/>
          <w:highlight w:val="none"/>
          <w:lang w:val="en-US" w:eastAsia="zh-CN"/>
        </w:rPr>
        <w:t>海洋石油天然气企业安全现状评价</w:t>
      </w:r>
      <w:r>
        <w:rPr>
          <w:rFonts w:hint="eastAsia" w:ascii="宋体" w:hAnsi="宋体" w:eastAsia="仿宋_GB2312"/>
          <w:color w:val="000000" w:themeColor="text1"/>
          <w:sz w:val="32"/>
          <w:szCs w:val="32"/>
          <w:shd w:val="clear" w:color="auto" w:fill="FFFFFF"/>
          <w14:textFill>
            <w14:solidFill>
              <w14:schemeClr w14:val="tx1"/>
            </w14:solidFill>
          </w14:textFill>
        </w:rPr>
        <w:t>的主要内容与编制要求。本文件主要内容包括前言、正文</w:t>
      </w:r>
      <w:r>
        <w:rPr>
          <w:rFonts w:hint="eastAsia" w:ascii="宋体" w:hAnsi="宋体" w:eastAsia="仿宋_GB2312"/>
          <w:color w:val="000000" w:themeColor="text1"/>
          <w:sz w:val="32"/>
          <w:szCs w:val="32"/>
          <w:shd w:val="clear" w:color="auto" w:fill="FFFFFF"/>
          <w:lang w:val="en-US" w:eastAsia="zh-CN"/>
          <w14:textFill>
            <w14:solidFill>
              <w14:schemeClr w14:val="tx1"/>
            </w14:solidFill>
          </w14:textFill>
        </w:rPr>
        <w:t>15</w:t>
      </w:r>
      <w:r>
        <w:rPr>
          <w:rFonts w:hint="eastAsia" w:ascii="宋体" w:hAnsi="宋体" w:eastAsia="仿宋_GB2312"/>
          <w:color w:val="000000" w:themeColor="text1"/>
          <w:sz w:val="32"/>
          <w:szCs w:val="32"/>
          <w:shd w:val="clear" w:color="auto" w:fill="FFFFFF"/>
          <w14:textFill>
            <w14:solidFill>
              <w14:schemeClr w14:val="tx1"/>
            </w14:solidFill>
          </w14:textFill>
        </w:rPr>
        <w:t>章以及附录。</w:t>
      </w:r>
    </w:p>
    <w:p w14:paraId="4C2B0C8C">
      <w:pPr>
        <w:spacing w:line="560" w:lineRule="exact"/>
        <w:ind w:firstLine="640" w:firstLineChars="200"/>
        <w:rPr>
          <w:rFonts w:hint="eastAsia"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1.范围</w:t>
      </w:r>
    </w:p>
    <w:p w14:paraId="23336699">
      <w:pPr>
        <w:spacing w:line="560" w:lineRule="exact"/>
        <w:ind w:firstLine="640" w:firstLineChars="200"/>
        <w:rPr>
          <w:rFonts w:hint="eastAsia"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参考《石油天然气开采企业安全现状评价技术规范》（SY/T 6778-2024），同时结合海洋石油天然气企业行政审批许可范围，进一步明确了海洋石油天然气企业的细分类型，对本文件的适用范围予以明确。</w:t>
      </w:r>
    </w:p>
    <w:p w14:paraId="1B19B233">
      <w:pPr>
        <w:spacing w:line="560" w:lineRule="exact"/>
        <w:ind w:firstLine="640" w:firstLineChars="200"/>
        <w:rPr>
          <w:rFonts w:hint="eastAsia"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2.规范性引用文件</w:t>
      </w:r>
    </w:p>
    <w:p w14:paraId="66145E3D">
      <w:pPr>
        <w:spacing w:line="560" w:lineRule="exact"/>
        <w:ind w:firstLine="640" w:firstLineChars="200"/>
        <w:rPr>
          <w:rFonts w:hint="default" w:ascii="宋体" w:hAnsi="宋体" w:eastAsia="仿宋_GB2312" w:cs="Times New Roman"/>
          <w:i w:val="0"/>
          <w:iCs/>
          <w:color w:val="auto"/>
          <w:sz w:val="32"/>
          <w:szCs w:val="32"/>
          <w:highlight w:val="none"/>
          <w:lang w:val="en-US" w:eastAsia="zh-CN"/>
        </w:rPr>
      </w:pPr>
      <w:r>
        <w:rPr>
          <w:rFonts w:hint="eastAsia" w:ascii="仿宋_GB2312" w:hAnsi="仿宋_GB2312" w:eastAsia="仿宋_GB2312" w:cs="仿宋_GB2312"/>
          <w:sz w:val="32"/>
          <w:szCs w:val="32"/>
          <w:lang w:val="en-US" w:eastAsia="zh-CN"/>
        </w:rPr>
        <w:t>明确</w:t>
      </w:r>
      <w:r>
        <w:rPr>
          <w:rFonts w:hint="eastAsia" w:ascii="仿宋_GB2312" w:hAnsi="仿宋_GB2312" w:eastAsia="仿宋_GB2312" w:cs="仿宋_GB2312"/>
          <w:sz w:val="32"/>
          <w:szCs w:val="32"/>
        </w:rPr>
        <w:t>本文件没有规范性引用文件</w:t>
      </w:r>
      <w:r>
        <w:rPr>
          <w:rFonts w:hint="eastAsia" w:ascii="宋体" w:hAnsi="宋体" w:eastAsia="仿宋_GB2312" w:cs="Times New Roman"/>
          <w:i w:val="0"/>
          <w:iCs/>
          <w:color w:val="auto"/>
          <w:sz w:val="32"/>
          <w:szCs w:val="32"/>
          <w:highlight w:val="none"/>
          <w:lang w:val="en-US" w:eastAsia="zh-CN"/>
        </w:rPr>
        <w:t>。</w:t>
      </w:r>
    </w:p>
    <w:p w14:paraId="1D57120E">
      <w:pPr>
        <w:spacing w:line="560" w:lineRule="exact"/>
        <w:ind w:firstLine="640" w:firstLineChars="200"/>
        <w:rPr>
          <w:rFonts w:hint="eastAsia"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3.术语与定义</w:t>
      </w:r>
      <w:bookmarkStart w:id="218" w:name="_Hlk68821606"/>
    </w:p>
    <w:p w14:paraId="4CAAE983">
      <w:pPr>
        <w:spacing w:line="560" w:lineRule="exact"/>
        <w:ind w:firstLine="640" w:firstLineChars="200"/>
        <w:rPr>
          <w:rFonts w:hint="eastAsia"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明确本文件没有需要界定的术语和定义。</w:t>
      </w:r>
    </w:p>
    <w:bookmarkEnd w:id="218"/>
    <w:p w14:paraId="396E42E9">
      <w:pPr>
        <w:spacing w:line="560" w:lineRule="exact"/>
        <w:ind w:firstLine="640" w:firstLineChars="200"/>
        <w:rPr>
          <w:rFonts w:hint="eastAsia" w:ascii="宋体" w:hAnsi="宋体" w:eastAsia="仿宋_GB2312" w:cs="Times New Roman"/>
          <w:i w:val="0"/>
          <w:iCs/>
          <w:color w:val="auto"/>
          <w:sz w:val="32"/>
          <w:szCs w:val="32"/>
          <w:highlight w:val="none"/>
          <w:lang w:val="en-US" w:eastAsia="zh-CN"/>
        </w:rPr>
      </w:pPr>
      <w:bookmarkStart w:id="219" w:name="_Toc28161"/>
      <w:bookmarkStart w:id="220" w:name="_Toc501931577"/>
      <w:r>
        <w:rPr>
          <w:rFonts w:hint="eastAsia" w:ascii="宋体" w:hAnsi="宋体" w:eastAsia="仿宋_GB2312" w:cs="Times New Roman"/>
          <w:i w:val="0"/>
          <w:iCs/>
          <w:color w:val="auto"/>
          <w:sz w:val="32"/>
          <w:szCs w:val="32"/>
          <w:highlight w:val="none"/>
          <w:lang w:val="en-US" w:eastAsia="zh-CN"/>
        </w:rPr>
        <w:t>4.总体要求</w:t>
      </w:r>
    </w:p>
    <w:p w14:paraId="043DFC13">
      <w:pPr>
        <w:spacing w:line="560" w:lineRule="exact"/>
        <w:ind w:firstLine="640" w:firstLineChars="200"/>
        <w:rPr>
          <w:rFonts w:hint="default"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将开展海洋石油天然气企业安全现状评价活动的总体要求进行明确。对评价机构资质和评价项目组人员，安全现状评价程序以及安全现状评价报告编制的要求进行了规定。</w:t>
      </w:r>
    </w:p>
    <w:p w14:paraId="4196C9A5">
      <w:pPr>
        <w:spacing w:line="560" w:lineRule="exact"/>
        <w:ind w:firstLine="640" w:firstLineChars="200"/>
        <w:rPr>
          <w:rFonts w:hint="eastAsia"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5.评价概述</w:t>
      </w:r>
    </w:p>
    <w:p w14:paraId="3B6E6CF5">
      <w:pPr>
        <w:spacing w:line="560" w:lineRule="exact"/>
        <w:ind w:firstLine="640" w:firstLineChars="200"/>
        <w:rPr>
          <w:rFonts w:hint="default"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参照《石油天然气开采企业安全现状评价技术规范》（SY/T 6778-2024），同时结合行业良好作业实践，对海洋石油天然气企业安全现状评价目的、范围、依据</w:t>
      </w:r>
      <w:bookmarkEnd w:id="219"/>
      <w:r>
        <w:rPr>
          <w:rFonts w:hint="eastAsia" w:ascii="宋体" w:hAnsi="宋体" w:eastAsia="仿宋_GB2312" w:cs="Times New Roman"/>
          <w:i w:val="0"/>
          <w:iCs/>
          <w:color w:val="auto"/>
          <w:sz w:val="32"/>
          <w:szCs w:val="32"/>
          <w:highlight w:val="none"/>
          <w:lang w:val="en-US" w:eastAsia="zh-CN"/>
        </w:rPr>
        <w:t>进行了规定。</w:t>
      </w:r>
    </w:p>
    <w:p w14:paraId="593C9CF4">
      <w:pPr>
        <w:spacing w:line="560" w:lineRule="exact"/>
        <w:ind w:firstLine="640" w:firstLineChars="200"/>
        <w:rPr>
          <w:rFonts w:hint="eastAsia"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6.企业概况</w:t>
      </w:r>
    </w:p>
    <w:p w14:paraId="0CF6B1A6">
      <w:pPr>
        <w:keepNext w:val="0"/>
        <w:keepLines w:val="0"/>
        <w:pageBreakBefore w:val="0"/>
        <w:widowControl/>
        <w:kinsoku/>
        <w:wordWrap/>
        <w:overflowPunct w:val="0"/>
        <w:topLinePunct w:val="0"/>
        <w:autoSpaceDE/>
        <w:autoSpaceDN/>
        <w:bidi w:val="0"/>
        <w:adjustRightInd/>
        <w:snapToGrid/>
        <w:spacing w:line="560" w:lineRule="exact"/>
        <w:ind w:firstLine="660" w:firstLineChars="200"/>
        <w:textAlignment w:val="auto"/>
        <w:rPr>
          <w:rFonts w:hint="default" w:ascii="宋体" w:hAnsi="宋体" w:eastAsia="仿宋_GB2312" w:cs="宋体"/>
          <w:spacing w:val="5"/>
          <w:kern w:val="0"/>
          <w:sz w:val="32"/>
          <w:szCs w:val="32"/>
          <w:highlight w:val="none"/>
          <w:lang w:val="en-US" w:eastAsia="zh-CN"/>
        </w:rPr>
      </w:pPr>
      <w:r>
        <w:rPr>
          <w:rFonts w:hint="eastAsia" w:ascii="宋体" w:hAnsi="宋体" w:eastAsia="仿宋_GB2312" w:cs="宋体"/>
          <w:spacing w:val="5"/>
          <w:kern w:val="0"/>
          <w:sz w:val="32"/>
          <w:szCs w:val="32"/>
          <w:highlight w:val="none"/>
          <w:lang w:val="en-US" w:eastAsia="zh-CN"/>
        </w:rPr>
        <w:t>经专家多次讨论</w:t>
      </w:r>
      <w:r>
        <w:rPr>
          <w:rFonts w:hint="eastAsia" w:ascii="宋体" w:hAnsi="宋体" w:eastAsia="仿宋_GB2312" w:cs="Times New Roman"/>
          <w:i w:val="0"/>
          <w:iCs/>
          <w:color w:val="auto"/>
          <w:sz w:val="32"/>
          <w:szCs w:val="32"/>
          <w:highlight w:val="none"/>
          <w:lang w:val="en-US" w:eastAsia="zh-CN"/>
        </w:rPr>
        <w:t>，参照《海洋石油天然气开采建设项目安全预评价导则》（报批稿），将企业概况单独成章</w:t>
      </w:r>
      <w:r>
        <w:rPr>
          <w:rFonts w:hint="eastAsia" w:ascii="宋体" w:hAnsi="宋体" w:eastAsia="仿宋_GB2312" w:cs="宋体"/>
          <w:spacing w:val="5"/>
          <w:kern w:val="0"/>
          <w:sz w:val="32"/>
          <w:szCs w:val="32"/>
          <w:highlight w:val="none"/>
          <w:lang w:val="en-US" w:eastAsia="zh-CN"/>
        </w:rPr>
        <w:t>，同时结合评审专家意见，将本章划分为三节，包括基本情况、设备设施及生产作业现状、安全业绩。其中设备设施及生产作业现状按照海上采油（气）及管道储运，物探、钻井、录井、测井、井下作业、油建及海油工程两大类海洋石油天然气企业分别进行了规定，明确了各部分包括的主要内容。</w:t>
      </w:r>
    </w:p>
    <w:p w14:paraId="1927F568">
      <w:pPr>
        <w:spacing w:line="560" w:lineRule="exact"/>
        <w:ind w:firstLine="640" w:firstLineChars="200"/>
        <w:rPr>
          <w:rFonts w:hint="eastAsia"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7.评价单元划分与评价方法选择</w:t>
      </w:r>
    </w:p>
    <w:p w14:paraId="4A709497">
      <w:pPr>
        <w:keepNext w:val="0"/>
        <w:keepLines w:val="0"/>
        <w:pageBreakBefore w:val="0"/>
        <w:widowControl/>
        <w:kinsoku/>
        <w:wordWrap/>
        <w:overflowPunct w:val="0"/>
        <w:topLinePunct w:val="0"/>
        <w:autoSpaceDE/>
        <w:autoSpaceDN/>
        <w:bidi w:val="0"/>
        <w:adjustRightInd/>
        <w:snapToGrid/>
        <w:spacing w:line="560" w:lineRule="exact"/>
        <w:ind w:firstLine="660" w:firstLineChars="200"/>
        <w:textAlignment w:val="auto"/>
        <w:rPr>
          <w:rFonts w:hint="eastAsia" w:ascii="宋体" w:hAnsi="宋体" w:eastAsia="仿宋_GB2312" w:cs="宋体"/>
          <w:spacing w:val="5"/>
          <w:kern w:val="0"/>
          <w:sz w:val="32"/>
          <w:szCs w:val="32"/>
          <w:highlight w:val="none"/>
          <w:lang w:val="en-US" w:eastAsia="zh-CN"/>
        </w:rPr>
      </w:pPr>
      <w:r>
        <w:rPr>
          <w:rFonts w:hint="eastAsia" w:ascii="宋体" w:hAnsi="宋体" w:eastAsia="仿宋_GB2312" w:cs="宋体"/>
          <w:spacing w:val="5"/>
          <w:kern w:val="0"/>
          <w:sz w:val="32"/>
          <w:szCs w:val="32"/>
          <w:highlight w:val="none"/>
          <w:lang w:val="en-US" w:eastAsia="zh-CN"/>
        </w:rPr>
        <w:t>参照《安全评价通则》（AQ 8001-征求意见稿），先进行单元划分再进行危险有害因素辨识。</w:t>
      </w:r>
    </w:p>
    <w:p w14:paraId="200AEA5F">
      <w:pPr>
        <w:keepNext w:val="0"/>
        <w:keepLines w:val="0"/>
        <w:pageBreakBefore w:val="0"/>
        <w:widowControl/>
        <w:kinsoku/>
        <w:wordWrap/>
        <w:overflowPunct w:val="0"/>
        <w:topLinePunct w:val="0"/>
        <w:autoSpaceDE/>
        <w:autoSpaceDN/>
        <w:bidi w:val="0"/>
        <w:adjustRightInd/>
        <w:snapToGrid/>
        <w:spacing w:line="560" w:lineRule="exact"/>
        <w:ind w:firstLine="660" w:firstLineChars="200"/>
        <w:textAlignment w:val="auto"/>
        <w:rPr>
          <w:rFonts w:hint="default" w:ascii="宋体" w:hAnsi="宋体" w:eastAsia="仿宋_GB2312" w:cs="宋体"/>
          <w:spacing w:val="5"/>
          <w:kern w:val="0"/>
          <w:sz w:val="32"/>
          <w:szCs w:val="32"/>
          <w:highlight w:val="none"/>
          <w:lang w:val="en-US" w:eastAsia="zh-CN"/>
        </w:rPr>
      </w:pPr>
      <w:r>
        <w:rPr>
          <w:rFonts w:hint="eastAsia" w:ascii="宋体" w:hAnsi="宋体" w:eastAsia="仿宋_GB2312" w:cs="宋体"/>
          <w:spacing w:val="5"/>
          <w:kern w:val="0"/>
          <w:sz w:val="32"/>
          <w:szCs w:val="32"/>
          <w:highlight w:val="none"/>
          <w:lang w:val="en-US" w:eastAsia="zh-CN"/>
        </w:rPr>
        <w:t>明确了评价单元划分与评价方法选择的原则。经多轮深入研讨，并广泛征求各方意见，结合专家意见，最终确定并给出了推荐划分的评价单元以及可选用的评价方法。</w:t>
      </w:r>
    </w:p>
    <w:p w14:paraId="3A28C15A">
      <w:pPr>
        <w:spacing w:line="560" w:lineRule="exact"/>
        <w:ind w:firstLine="640" w:firstLineChars="200"/>
        <w:rPr>
          <w:rFonts w:hint="default" w:ascii="宋体" w:hAnsi="宋体" w:eastAsia="仿宋_GB2312" w:cs="Times New Roman"/>
          <w:i w:val="0"/>
          <w:iCs/>
          <w:color w:val="auto"/>
          <w:sz w:val="32"/>
          <w:szCs w:val="32"/>
          <w:highlight w:val="none"/>
          <w:lang w:val="en-US" w:eastAsia="zh-CN"/>
        </w:rPr>
      </w:pPr>
      <w:bookmarkStart w:id="221" w:name="_Toc19279"/>
      <w:r>
        <w:rPr>
          <w:rFonts w:hint="eastAsia" w:ascii="宋体" w:hAnsi="宋体" w:eastAsia="仿宋_GB2312" w:cs="Times New Roman"/>
          <w:i w:val="0"/>
          <w:iCs/>
          <w:color w:val="auto"/>
          <w:sz w:val="32"/>
          <w:szCs w:val="32"/>
          <w:highlight w:val="none"/>
          <w:lang w:val="en-US" w:eastAsia="zh-CN"/>
        </w:rPr>
        <w:t>8.</w:t>
      </w:r>
      <w:bookmarkEnd w:id="221"/>
      <w:r>
        <w:rPr>
          <w:rFonts w:hint="eastAsia" w:ascii="仿宋_GB2312" w:hAnsi="仿宋_GB2312" w:eastAsia="仿宋_GB2312" w:cs="仿宋_GB2312"/>
          <w:spacing w:val="5"/>
          <w:kern w:val="0"/>
          <w:sz w:val="32"/>
          <w:szCs w:val="32"/>
        </w:rPr>
        <w:t>危险有害因素辨识与分析</w:t>
      </w:r>
    </w:p>
    <w:p w14:paraId="1E4F71C3">
      <w:pPr>
        <w:keepNext w:val="0"/>
        <w:keepLines w:val="0"/>
        <w:pageBreakBefore w:val="0"/>
        <w:widowControl/>
        <w:kinsoku/>
        <w:wordWrap/>
        <w:overflowPunct w:val="0"/>
        <w:topLinePunct w:val="0"/>
        <w:autoSpaceDE/>
        <w:autoSpaceDN/>
        <w:bidi w:val="0"/>
        <w:adjustRightInd/>
        <w:snapToGrid/>
        <w:spacing w:line="560" w:lineRule="exact"/>
        <w:ind w:firstLine="660" w:firstLineChars="200"/>
        <w:textAlignment w:val="auto"/>
        <w:rPr>
          <w:rFonts w:hint="default" w:ascii="宋体" w:hAnsi="宋体" w:eastAsia="仿宋_GB2312" w:cs="宋体"/>
          <w:spacing w:val="6"/>
          <w:kern w:val="0"/>
          <w:sz w:val="32"/>
          <w:szCs w:val="32"/>
          <w:highlight w:val="none"/>
          <w:lang w:val="en-US" w:eastAsia="zh-CN"/>
        </w:rPr>
      </w:pPr>
      <w:r>
        <w:rPr>
          <w:rFonts w:hint="eastAsia" w:ascii="宋体" w:hAnsi="宋体" w:eastAsia="仿宋_GB2312" w:cs="宋体"/>
          <w:spacing w:val="5"/>
          <w:kern w:val="0"/>
          <w:sz w:val="32"/>
          <w:szCs w:val="32"/>
          <w:highlight w:val="none"/>
          <w:lang w:val="en-US" w:eastAsia="zh-CN"/>
        </w:rPr>
        <w:t>本章划分为三节，包括危险有害物质辨识与分析、设备设施及生产作业活动危险有害因素辨识与分析、安全管理危险有害因素辨识与分析，对每节的内容进行了详细规定。</w:t>
      </w:r>
    </w:p>
    <w:p w14:paraId="1CB9DF82">
      <w:pPr>
        <w:spacing w:line="560" w:lineRule="exact"/>
        <w:ind w:firstLine="640" w:firstLineChars="200"/>
        <w:rPr>
          <w:rFonts w:hint="eastAsia"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9.设备设施单元评价</w:t>
      </w:r>
    </w:p>
    <w:p w14:paraId="2923C3FE">
      <w:pPr>
        <w:keepNext w:val="0"/>
        <w:keepLines w:val="0"/>
        <w:pageBreakBefore w:val="0"/>
        <w:widowControl/>
        <w:kinsoku/>
        <w:wordWrap/>
        <w:overflowPunct w:val="0"/>
        <w:topLinePunct w:val="0"/>
        <w:autoSpaceDE/>
        <w:autoSpaceDN/>
        <w:bidi w:val="0"/>
        <w:adjustRightInd/>
        <w:snapToGrid/>
        <w:spacing w:line="560" w:lineRule="exact"/>
        <w:ind w:firstLine="660" w:firstLineChars="200"/>
        <w:textAlignment w:val="auto"/>
        <w:rPr>
          <w:rFonts w:hint="eastAsia" w:ascii="宋体" w:hAnsi="宋体" w:eastAsia="仿宋_GB2312" w:cs="宋体"/>
          <w:spacing w:val="5"/>
          <w:kern w:val="0"/>
          <w:sz w:val="32"/>
          <w:szCs w:val="32"/>
          <w:highlight w:val="none"/>
          <w:lang w:val="en-US" w:eastAsia="zh-CN"/>
        </w:rPr>
      </w:pPr>
      <w:r>
        <w:rPr>
          <w:rFonts w:hint="eastAsia" w:ascii="宋体" w:hAnsi="宋体" w:eastAsia="仿宋_GB2312" w:cs="宋体"/>
          <w:spacing w:val="5"/>
          <w:kern w:val="0"/>
          <w:sz w:val="32"/>
          <w:szCs w:val="32"/>
          <w:highlight w:val="none"/>
          <w:lang w:val="en-US" w:eastAsia="zh-CN"/>
        </w:rPr>
        <w:t>本章明确了各类型海洋石油天然气企业设备设施评价的内容。</w:t>
      </w:r>
    </w:p>
    <w:p w14:paraId="64FA7C38">
      <w:pPr>
        <w:keepNext w:val="0"/>
        <w:keepLines w:val="0"/>
        <w:pageBreakBefore w:val="0"/>
        <w:widowControl/>
        <w:kinsoku/>
        <w:wordWrap/>
        <w:overflowPunct w:val="0"/>
        <w:topLinePunct w:val="0"/>
        <w:autoSpaceDE/>
        <w:autoSpaceDN/>
        <w:bidi w:val="0"/>
        <w:adjustRightInd/>
        <w:snapToGrid/>
        <w:spacing w:line="560" w:lineRule="exact"/>
        <w:ind w:firstLine="660" w:firstLineChars="200"/>
        <w:textAlignment w:val="auto"/>
        <w:rPr>
          <w:rFonts w:hint="eastAsia" w:ascii="宋体" w:hAnsi="宋体" w:eastAsia="仿宋_GB2312" w:cs="宋体"/>
          <w:spacing w:val="5"/>
          <w:kern w:val="0"/>
          <w:sz w:val="32"/>
          <w:szCs w:val="32"/>
          <w:highlight w:val="none"/>
          <w:lang w:val="en-US" w:eastAsia="zh-CN"/>
        </w:rPr>
      </w:pPr>
      <w:r>
        <w:rPr>
          <w:rFonts w:hint="eastAsia" w:ascii="宋体" w:hAnsi="宋体" w:eastAsia="仿宋_GB2312" w:cs="宋体"/>
          <w:spacing w:val="5"/>
          <w:kern w:val="0"/>
          <w:sz w:val="32"/>
          <w:szCs w:val="32"/>
          <w:highlight w:val="none"/>
          <w:lang w:val="en-US" w:eastAsia="zh-CN"/>
        </w:rPr>
        <w:t>参照《海上固定平台安全规则》、《浮式生产储油装置（FPSO）安全规则》、《海上移动平台安全规则》、《</w:t>
      </w:r>
      <w:r>
        <w:rPr>
          <w:rFonts w:hint="default" w:ascii="宋体" w:hAnsi="宋体" w:eastAsia="仿宋_GB2312" w:cs="宋体"/>
          <w:spacing w:val="5"/>
          <w:kern w:val="0"/>
          <w:sz w:val="32"/>
          <w:szCs w:val="32"/>
          <w:highlight w:val="none"/>
          <w:lang w:val="en-US" w:eastAsia="zh-CN"/>
        </w:rPr>
        <w:t>滩海陆岸石油作业安全规程</w:t>
      </w:r>
      <w:r>
        <w:rPr>
          <w:rFonts w:hint="eastAsia" w:ascii="宋体" w:hAnsi="宋体" w:eastAsia="仿宋_GB2312" w:cs="宋体"/>
          <w:spacing w:val="5"/>
          <w:kern w:val="0"/>
          <w:sz w:val="32"/>
          <w:szCs w:val="32"/>
          <w:highlight w:val="none"/>
          <w:lang w:val="en-US" w:eastAsia="zh-CN"/>
        </w:rPr>
        <w:t>》（SY/T 6634-2022）、《</w:t>
      </w:r>
      <w:r>
        <w:rPr>
          <w:rFonts w:hint="default" w:ascii="宋体" w:hAnsi="宋体" w:eastAsia="仿宋_GB2312" w:cs="宋体"/>
          <w:spacing w:val="5"/>
          <w:kern w:val="0"/>
          <w:sz w:val="32"/>
          <w:szCs w:val="32"/>
          <w:highlight w:val="none"/>
          <w:lang w:val="en-US" w:eastAsia="zh-CN"/>
        </w:rPr>
        <w:t>滩海石油人工岛安全规则</w:t>
      </w:r>
      <w:r>
        <w:rPr>
          <w:rFonts w:hint="eastAsia" w:ascii="宋体" w:hAnsi="宋体" w:eastAsia="仿宋_GB2312" w:cs="宋体"/>
          <w:spacing w:val="5"/>
          <w:kern w:val="0"/>
          <w:sz w:val="32"/>
          <w:szCs w:val="32"/>
          <w:highlight w:val="none"/>
          <w:lang w:val="en-US" w:eastAsia="zh-CN"/>
        </w:rPr>
        <w:t>》（SY/T 6777-2017）以及《海洋石油天然气开采安全规程 第1部分：总则》（GB 40554.1-2021）、《海洋石油天然气开采安全规程 第2部分：海上部分》（GB 40554.2-2025）、《海洋石油天然气开采安全规程 第3部分：陆岸终端部分》（GB 40554.3-2025）、《海洋石油天然气开采安全规程 第4部分：滩海部分》（GB 40554.4-2025）、《海洋石油固定平台安全规范》（GB 46766-2025）、《浮式生产储油装置总体技术规范》（GB/T 42034-2022）等对海上采油（气）及管道储运设备设施评价的内容进行了规定。</w:t>
      </w:r>
    </w:p>
    <w:p w14:paraId="26225B31">
      <w:pPr>
        <w:keepNext w:val="0"/>
        <w:keepLines w:val="0"/>
        <w:pageBreakBefore w:val="0"/>
        <w:widowControl/>
        <w:kinsoku/>
        <w:wordWrap/>
        <w:overflowPunct w:val="0"/>
        <w:topLinePunct w:val="0"/>
        <w:autoSpaceDE/>
        <w:autoSpaceDN/>
        <w:bidi w:val="0"/>
        <w:adjustRightInd/>
        <w:snapToGrid/>
        <w:spacing w:line="560" w:lineRule="exact"/>
        <w:ind w:firstLine="660" w:firstLineChars="200"/>
        <w:textAlignment w:val="auto"/>
        <w:rPr>
          <w:rFonts w:hint="default" w:ascii="宋体" w:hAnsi="宋体" w:eastAsia="仿宋_GB2312" w:cs="宋体"/>
          <w:spacing w:val="5"/>
          <w:kern w:val="0"/>
          <w:sz w:val="32"/>
          <w:szCs w:val="32"/>
          <w:highlight w:val="none"/>
          <w:lang w:val="en-US" w:eastAsia="zh-CN"/>
        </w:rPr>
      </w:pPr>
      <w:r>
        <w:rPr>
          <w:rFonts w:hint="eastAsia" w:ascii="宋体" w:hAnsi="宋体" w:eastAsia="仿宋_GB2312" w:cs="宋体"/>
          <w:spacing w:val="5"/>
          <w:kern w:val="0"/>
          <w:sz w:val="32"/>
          <w:szCs w:val="32"/>
          <w:highlight w:val="none"/>
          <w:lang w:val="en-US" w:eastAsia="zh-CN"/>
        </w:rPr>
        <w:t>参照《海洋石油安全管理细则》、《海洋石油安全生产规定》、《海洋石油专业设备检测检验通则》（AQ2082-2025）以及《海洋石油天然气开采安全规程 第1部分：总则》（GB 40554.1-2021）、《海洋石油天然气开采安全规程 第2部分：海上部分》（GB 40554.2-2025）、《海洋石油天然气开采安全规程 第4部分：滩海部分》（GB 40554.4-2025）、《海上移动平台法定检验技术规则（2016）》等对物探设备设施，钻井设备设施，测井、录井设备设施，井下作业设备设施，海油工程及油建设备设施评价的内容进行了规定。</w:t>
      </w:r>
    </w:p>
    <w:p w14:paraId="73206731">
      <w:pPr>
        <w:spacing w:line="560" w:lineRule="exact"/>
        <w:ind w:firstLine="640" w:firstLineChars="200"/>
        <w:rPr>
          <w:rFonts w:hint="eastAsia"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10.</w:t>
      </w:r>
      <w:bookmarkStart w:id="222" w:name="_Toc14305"/>
      <w:r>
        <w:rPr>
          <w:rFonts w:hint="eastAsia" w:ascii="宋体" w:hAnsi="宋体" w:eastAsia="仿宋_GB2312" w:cs="Times New Roman"/>
          <w:i w:val="0"/>
          <w:iCs/>
          <w:color w:val="auto"/>
          <w:sz w:val="32"/>
          <w:szCs w:val="32"/>
          <w:highlight w:val="none"/>
          <w:lang w:val="en-US" w:eastAsia="zh-CN"/>
        </w:rPr>
        <w:t>生产作业活动单元评价</w:t>
      </w:r>
      <w:bookmarkEnd w:id="222"/>
    </w:p>
    <w:p w14:paraId="14E4A2C0">
      <w:pPr>
        <w:keepNext w:val="0"/>
        <w:keepLines w:val="0"/>
        <w:pageBreakBefore w:val="0"/>
        <w:widowControl/>
        <w:kinsoku/>
        <w:wordWrap/>
        <w:overflowPunct w:val="0"/>
        <w:topLinePunct w:val="0"/>
        <w:autoSpaceDE/>
        <w:autoSpaceDN/>
        <w:bidi w:val="0"/>
        <w:adjustRightInd/>
        <w:snapToGrid/>
        <w:spacing w:line="560" w:lineRule="exact"/>
        <w:ind w:firstLine="660" w:firstLineChars="200"/>
        <w:textAlignment w:val="auto"/>
        <w:rPr>
          <w:rFonts w:hint="eastAsia" w:ascii="宋体" w:hAnsi="宋体" w:eastAsia="仿宋_GB2312" w:cs="宋体"/>
          <w:spacing w:val="5"/>
          <w:kern w:val="0"/>
          <w:sz w:val="32"/>
          <w:szCs w:val="32"/>
          <w:highlight w:val="none"/>
          <w:lang w:val="en-US" w:eastAsia="zh-CN"/>
        </w:rPr>
      </w:pPr>
      <w:r>
        <w:rPr>
          <w:rFonts w:hint="eastAsia" w:ascii="宋体" w:hAnsi="宋体" w:eastAsia="仿宋_GB2312" w:cs="宋体"/>
          <w:spacing w:val="5"/>
          <w:kern w:val="0"/>
          <w:sz w:val="32"/>
          <w:szCs w:val="32"/>
          <w:highlight w:val="none"/>
          <w:lang w:val="en-US" w:eastAsia="zh-CN"/>
        </w:rPr>
        <w:t>本章明确了各类型海洋石油天然气企业</w:t>
      </w:r>
      <w:r>
        <w:rPr>
          <w:rFonts w:hint="eastAsia" w:ascii="宋体" w:hAnsi="宋体" w:eastAsia="仿宋_GB2312" w:cs="Times New Roman"/>
          <w:i w:val="0"/>
          <w:iCs/>
          <w:color w:val="auto"/>
          <w:sz w:val="32"/>
          <w:szCs w:val="32"/>
          <w:highlight w:val="none"/>
          <w:lang w:val="en-US" w:eastAsia="zh-CN"/>
        </w:rPr>
        <w:t>生产作业活动</w:t>
      </w:r>
      <w:r>
        <w:rPr>
          <w:rFonts w:hint="eastAsia" w:ascii="宋体" w:hAnsi="宋体" w:eastAsia="仿宋_GB2312" w:cs="宋体"/>
          <w:spacing w:val="5"/>
          <w:kern w:val="0"/>
          <w:sz w:val="32"/>
          <w:szCs w:val="32"/>
          <w:highlight w:val="none"/>
          <w:lang w:val="en-US" w:eastAsia="zh-CN"/>
        </w:rPr>
        <w:t>评价的内容。</w:t>
      </w:r>
    </w:p>
    <w:p w14:paraId="6E99043B">
      <w:pPr>
        <w:keepNext w:val="0"/>
        <w:keepLines w:val="0"/>
        <w:pageBreakBefore w:val="0"/>
        <w:widowControl/>
        <w:kinsoku/>
        <w:wordWrap/>
        <w:overflowPunct w:val="0"/>
        <w:topLinePunct w:val="0"/>
        <w:autoSpaceDE/>
        <w:autoSpaceDN/>
        <w:bidi w:val="0"/>
        <w:adjustRightInd/>
        <w:snapToGrid/>
        <w:spacing w:line="560" w:lineRule="exact"/>
        <w:ind w:firstLine="660" w:firstLineChars="200"/>
        <w:textAlignment w:val="auto"/>
        <w:rPr>
          <w:rFonts w:hint="eastAsia" w:ascii="宋体" w:hAnsi="宋体" w:eastAsia="仿宋_GB2312" w:cs="宋体"/>
          <w:spacing w:val="5"/>
          <w:kern w:val="0"/>
          <w:sz w:val="32"/>
          <w:szCs w:val="32"/>
          <w:highlight w:val="none"/>
          <w:lang w:val="en-US" w:eastAsia="zh-CN"/>
        </w:rPr>
      </w:pPr>
      <w:r>
        <w:rPr>
          <w:rFonts w:hint="eastAsia" w:ascii="宋体" w:hAnsi="宋体" w:eastAsia="仿宋_GB2312" w:cs="宋体"/>
          <w:spacing w:val="5"/>
          <w:kern w:val="0"/>
          <w:sz w:val="32"/>
          <w:szCs w:val="32"/>
          <w:highlight w:val="none"/>
          <w:lang w:val="en-US" w:eastAsia="zh-CN"/>
        </w:rPr>
        <w:t>参照《海洋石油安全管理细则》、《海洋石油安全生产规定》、《石油天然气安全规程》（AQ2012-2007）以及《海洋石油天然气开采安全规程 第1部分：总则》（GB 40554.1-2021）、《海洋石油天然气开采安全规程 第2部分：海上部分》（GB 40554.2-2025）、《海洋石油天然气开采安全规程 第3部分：陆岸终端部分》（GB 40554.3-2025）、《海洋石油天然气开采安全规程 第4部分：滩海部分》（GB 40554.4-2025）等，结合</w:t>
      </w:r>
      <w:r>
        <w:rPr>
          <w:rFonts w:hint="eastAsia" w:ascii="宋体" w:hAnsi="宋体" w:eastAsia="仿宋_GB2312" w:cs="Times New Roman"/>
          <w:i w:val="0"/>
          <w:iCs/>
          <w:color w:val="auto"/>
          <w:sz w:val="32"/>
          <w:szCs w:val="32"/>
          <w:highlight w:val="none"/>
          <w:lang w:val="en-US" w:eastAsia="zh-CN"/>
        </w:rPr>
        <w:t>行业良好作业实践，</w:t>
      </w:r>
      <w:r>
        <w:rPr>
          <w:rFonts w:hint="eastAsia" w:ascii="宋体" w:hAnsi="宋体" w:eastAsia="仿宋_GB2312" w:cs="宋体"/>
          <w:spacing w:val="5"/>
          <w:kern w:val="0"/>
          <w:sz w:val="32"/>
          <w:szCs w:val="32"/>
          <w:highlight w:val="none"/>
          <w:lang w:val="en-US" w:eastAsia="zh-CN"/>
        </w:rPr>
        <w:t>对海上采油（气）及管道储运作业活动，物探作业活动，钻井作业活动，测井、录井作业活动，井下作业活动，海油工程及油建作业活动评价的内容进行了规定。</w:t>
      </w:r>
    </w:p>
    <w:p w14:paraId="3B40A1C4">
      <w:pPr>
        <w:spacing w:line="560" w:lineRule="exact"/>
        <w:ind w:firstLine="640" w:firstLineChars="200"/>
        <w:rPr>
          <w:rFonts w:hint="default"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11.安全管理单元评价</w:t>
      </w:r>
    </w:p>
    <w:p w14:paraId="4256C0E3">
      <w:pPr>
        <w:keepNext w:val="0"/>
        <w:keepLines w:val="0"/>
        <w:pageBreakBefore w:val="0"/>
        <w:widowControl/>
        <w:kinsoku/>
        <w:wordWrap/>
        <w:overflowPunct w:val="0"/>
        <w:topLinePunct w:val="0"/>
        <w:autoSpaceDE/>
        <w:autoSpaceDN/>
        <w:bidi w:val="0"/>
        <w:adjustRightInd/>
        <w:snapToGrid/>
        <w:spacing w:line="560" w:lineRule="exact"/>
        <w:ind w:firstLine="660" w:firstLineChars="200"/>
        <w:textAlignment w:val="auto"/>
        <w:rPr>
          <w:rFonts w:hint="default" w:ascii="宋体" w:hAnsi="宋体" w:eastAsia="仿宋_GB2312" w:cs="宋体"/>
          <w:spacing w:val="5"/>
          <w:kern w:val="0"/>
          <w:sz w:val="32"/>
          <w:szCs w:val="32"/>
          <w:highlight w:val="none"/>
          <w:lang w:val="en-US" w:eastAsia="zh-CN"/>
        </w:rPr>
      </w:pPr>
      <w:r>
        <w:rPr>
          <w:rFonts w:hint="eastAsia" w:ascii="宋体" w:hAnsi="宋体" w:eastAsia="仿宋_GB2312" w:cs="宋体"/>
          <w:spacing w:val="5"/>
          <w:kern w:val="0"/>
          <w:sz w:val="32"/>
          <w:szCs w:val="32"/>
          <w:highlight w:val="none"/>
          <w:lang w:val="en-US" w:eastAsia="zh-CN"/>
        </w:rPr>
        <w:t>参照《非煤矿矿山企业安全生产许可证实施办法》、《海洋石油安全生产规定》、《海洋石油安全管理细则》等相关要求对安全管理单元进行了规定。</w:t>
      </w:r>
    </w:p>
    <w:p w14:paraId="40AE15DA">
      <w:pPr>
        <w:spacing w:line="560" w:lineRule="exact"/>
        <w:ind w:firstLine="640" w:firstLineChars="200"/>
        <w:rPr>
          <w:rFonts w:hint="eastAsia"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12.安全对策措施及建议</w:t>
      </w:r>
    </w:p>
    <w:p w14:paraId="79C5DCDC">
      <w:pPr>
        <w:keepNext w:val="0"/>
        <w:keepLines w:val="0"/>
        <w:pageBreakBefore w:val="0"/>
        <w:widowControl/>
        <w:kinsoku/>
        <w:wordWrap/>
        <w:overflowPunct w:val="0"/>
        <w:topLinePunct w:val="0"/>
        <w:autoSpaceDE/>
        <w:autoSpaceDN/>
        <w:bidi w:val="0"/>
        <w:adjustRightInd/>
        <w:snapToGrid/>
        <w:spacing w:line="560" w:lineRule="exact"/>
        <w:ind w:firstLine="660" w:firstLineChars="200"/>
        <w:textAlignment w:val="auto"/>
        <w:rPr>
          <w:rFonts w:hint="default" w:ascii="宋体" w:hAnsi="宋体" w:eastAsia="仿宋_GB2312" w:cs="宋体"/>
          <w:spacing w:val="5"/>
          <w:kern w:val="0"/>
          <w:sz w:val="32"/>
          <w:szCs w:val="32"/>
          <w:highlight w:val="none"/>
          <w:lang w:val="en-US" w:eastAsia="zh-CN"/>
        </w:rPr>
      </w:pPr>
      <w:r>
        <w:rPr>
          <w:rFonts w:hint="eastAsia" w:ascii="宋体" w:hAnsi="宋体" w:eastAsia="仿宋_GB2312" w:cs="宋体"/>
          <w:spacing w:val="5"/>
          <w:kern w:val="0"/>
          <w:sz w:val="32"/>
          <w:szCs w:val="32"/>
          <w:highlight w:val="none"/>
          <w:lang w:val="en-US" w:eastAsia="zh-CN"/>
        </w:rPr>
        <w:t>参照《安全评价通则》（AQ8001-征求意见稿）等标准，同时结合专家意见，明确了安全对策措施及建议的要求。</w:t>
      </w:r>
    </w:p>
    <w:p w14:paraId="0DF1F9B2">
      <w:pPr>
        <w:spacing w:line="560" w:lineRule="exact"/>
        <w:ind w:firstLine="640" w:firstLineChars="200"/>
        <w:rPr>
          <w:rFonts w:hint="default"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13.安全现状评价结论</w:t>
      </w:r>
    </w:p>
    <w:p w14:paraId="55F042C6">
      <w:pPr>
        <w:spacing w:line="560" w:lineRule="exact"/>
        <w:ind w:firstLine="660" w:firstLineChars="200"/>
        <w:rPr>
          <w:rFonts w:hint="default" w:ascii="宋体" w:hAnsi="宋体" w:eastAsia="仿宋_GB2312" w:cs="宋体"/>
          <w:spacing w:val="5"/>
          <w:kern w:val="0"/>
          <w:sz w:val="32"/>
          <w:szCs w:val="32"/>
          <w:highlight w:val="none"/>
          <w:lang w:val="en-US" w:eastAsia="zh-CN"/>
        </w:rPr>
      </w:pPr>
      <w:r>
        <w:rPr>
          <w:rFonts w:hint="eastAsia" w:ascii="宋体" w:hAnsi="宋体" w:eastAsia="仿宋_GB2312" w:cs="宋体"/>
          <w:spacing w:val="5"/>
          <w:kern w:val="0"/>
          <w:sz w:val="32"/>
          <w:szCs w:val="32"/>
          <w:highlight w:val="none"/>
          <w:lang w:val="en-US" w:eastAsia="zh-CN"/>
        </w:rPr>
        <w:t>参照《安全评价通则》（AQ8001-征求意见稿）等标准，结合行业良好作业实践和专家意见，对评价结论进行了规定。</w:t>
      </w:r>
    </w:p>
    <w:p w14:paraId="5F68DEC0">
      <w:pPr>
        <w:spacing w:line="560" w:lineRule="exact"/>
        <w:ind w:firstLine="640" w:firstLineChars="200"/>
        <w:rPr>
          <w:rFonts w:hint="eastAsia"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14.附件</w:t>
      </w:r>
    </w:p>
    <w:p w14:paraId="687A7995">
      <w:pPr>
        <w:spacing w:line="560" w:lineRule="exact"/>
        <w:ind w:firstLine="660" w:firstLineChars="200"/>
        <w:rPr>
          <w:rFonts w:hint="default" w:ascii="宋体" w:hAnsi="宋体" w:eastAsia="仿宋_GB2312" w:cs="宋体"/>
          <w:spacing w:val="5"/>
          <w:kern w:val="0"/>
          <w:sz w:val="32"/>
          <w:szCs w:val="32"/>
          <w:highlight w:val="none"/>
          <w:lang w:val="en-US" w:eastAsia="zh-CN"/>
        </w:rPr>
      </w:pPr>
      <w:r>
        <w:rPr>
          <w:rFonts w:hint="eastAsia" w:ascii="宋体" w:hAnsi="宋体" w:eastAsia="仿宋_GB2312" w:cs="宋体"/>
          <w:spacing w:val="5"/>
          <w:kern w:val="0"/>
          <w:sz w:val="32"/>
          <w:szCs w:val="32"/>
          <w:highlight w:val="none"/>
          <w:lang w:val="en-US" w:eastAsia="zh-CN"/>
        </w:rPr>
        <w:t>明确了安全现状评价报告包含的附件。</w:t>
      </w:r>
    </w:p>
    <w:p w14:paraId="0162C2BD">
      <w:pPr>
        <w:spacing w:line="560" w:lineRule="exact"/>
        <w:ind w:firstLine="640" w:firstLineChars="200"/>
        <w:rPr>
          <w:rFonts w:hint="default"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15.报告格式要求</w:t>
      </w:r>
    </w:p>
    <w:p w14:paraId="1D6F25FB">
      <w:pPr>
        <w:keepNext w:val="0"/>
        <w:keepLines w:val="0"/>
        <w:pageBreakBefore w:val="0"/>
        <w:widowControl/>
        <w:kinsoku/>
        <w:wordWrap/>
        <w:overflowPunct w:val="0"/>
        <w:topLinePunct w:val="0"/>
        <w:autoSpaceDE/>
        <w:autoSpaceDN/>
        <w:bidi w:val="0"/>
        <w:adjustRightInd/>
        <w:snapToGrid/>
        <w:spacing w:line="560" w:lineRule="exact"/>
        <w:ind w:firstLine="660" w:firstLineChars="200"/>
        <w:textAlignment w:val="auto"/>
        <w:rPr>
          <w:rFonts w:ascii="宋体" w:hAnsi="宋体" w:eastAsia="仿宋_GB2312" w:cs="宋体"/>
          <w:spacing w:val="5"/>
          <w:kern w:val="0"/>
          <w:sz w:val="32"/>
          <w:szCs w:val="32"/>
          <w:highlight w:val="none"/>
        </w:rPr>
      </w:pPr>
      <w:r>
        <w:rPr>
          <w:rFonts w:hint="eastAsia" w:ascii="宋体" w:hAnsi="宋体" w:eastAsia="仿宋_GB2312" w:cs="宋体"/>
          <w:spacing w:val="5"/>
          <w:kern w:val="0"/>
          <w:sz w:val="32"/>
          <w:szCs w:val="32"/>
          <w:highlight w:val="none"/>
          <w:lang w:val="en-US" w:eastAsia="zh-CN"/>
        </w:rPr>
        <w:t>参照《安全评价通则》（AQ8001-征求意见稿）、《石油天然气开采企业安全现状评价技术规范》（SY/T 6778-2024）对</w:t>
      </w:r>
      <w:r>
        <w:rPr>
          <w:rFonts w:hint="eastAsia" w:ascii="宋体" w:hAnsi="宋体" w:eastAsia="仿宋_GB2312" w:cs="宋体"/>
          <w:spacing w:val="5"/>
          <w:kern w:val="0"/>
          <w:sz w:val="32"/>
          <w:szCs w:val="32"/>
          <w:highlight w:val="none"/>
          <w:lang w:eastAsia="zh-CN"/>
        </w:rPr>
        <w:t>海洋石油天然气企业安全现状评价</w:t>
      </w:r>
      <w:r>
        <w:rPr>
          <w:rFonts w:hint="eastAsia" w:ascii="宋体" w:hAnsi="宋体" w:eastAsia="仿宋_GB2312" w:cs="宋体"/>
          <w:spacing w:val="5"/>
          <w:kern w:val="0"/>
          <w:sz w:val="32"/>
          <w:szCs w:val="32"/>
          <w:highlight w:val="none"/>
        </w:rPr>
        <w:t>报告</w:t>
      </w:r>
      <w:r>
        <w:rPr>
          <w:rFonts w:hint="eastAsia" w:ascii="宋体" w:hAnsi="宋体" w:eastAsia="仿宋_GB2312" w:cs="宋体"/>
          <w:spacing w:val="5"/>
          <w:kern w:val="0"/>
          <w:sz w:val="32"/>
          <w:szCs w:val="32"/>
          <w:highlight w:val="none"/>
          <w:lang w:val="en-US" w:eastAsia="zh-CN"/>
        </w:rPr>
        <w:t>格式进行了规定</w:t>
      </w:r>
      <w:r>
        <w:rPr>
          <w:rFonts w:hint="eastAsia" w:ascii="宋体" w:hAnsi="宋体" w:eastAsia="仿宋_GB2312" w:cs="宋体"/>
          <w:spacing w:val="5"/>
          <w:kern w:val="0"/>
          <w:sz w:val="32"/>
          <w:szCs w:val="32"/>
          <w:highlight w:val="none"/>
        </w:rPr>
        <w:t>。</w:t>
      </w:r>
    </w:p>
    <w:p w14:paraId="37C8116B">
      <w:pPr>
        <w:spacing w:line="560" w:lineRule="exact"/>
        <w:ind w:firstLine="640" w:firstLineChars="200"/>
        <w:rPr>
          <w:rFonts w:hint="default"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附录</w:t>
      </w:r>
    </w:p>
    <w:bookmarkEnd w:id="220"/>
    <w:p w14:paraId="767D24A6">
      <w:pPr>
        <w:keepNext w:val="0"/>
        <w:keepLines w:val="0"/>
        <w:pageBreakBefore w:val="0"/>
        <w:widowControl/>
        <w:kinsoku/>
        <w:wordWrap/>
        <w:overflowPunct w:val="0"/>
        <w:topLinePunct w:val="0"/>
        <w:autoSpaceDE/>
        <w:autoSpaceDN/>
        <w:bidi w:val="0"/>
        <w:adjustRightInd/>
        <w:snapToGrid/>
        <w:spacing w:line="560" w:lineRule="exact"/>
        <w:ind w:firstLine="664" w:firstLineChars="200"/>
        <w:textAlignment w:val="auto"/>
        <w:rPr>
          <w:rFonts w:hint="eastAsia" w:ascii="宋体" w:hAnsi="宋体" w:eastAsia="仿宋_GB2312" w:cs="宋体"/>
          <w:spacing w:val="6"/>
          <w:kern w:val="0"/>
          <w:sz w:val="32"/>
          <w:szCs w:val="32"/>
          <w:highlight w:val="none"/>
          <w:lang w:val="en-US" w:eastAsia="zh-CN"/>
        </w:rPr>
      </w:pPr>
      <w:bookmarkStart w:id="223" w:name="_Toc20391"/>
      <w:bookmarkStart w:id="224" w:name="_Toc13286"/>
      <w:bookmarkStart w:id="225" w:name="_Toc2248"/>
      <w:r>
        <w:rPr>
          <w:rFonts w:hint="eastAsia" w:ascii="宋体" w:hAnsi="宋体" w:eastAsia="仿宋_GB2312" w:cs="宋体"/>
          <w:i w:val="0"/>
          <w:iCs w:val="0"/>
          <w:spacing w:val="6"/>
          <w:kern w:val="0"/>
          <w:sz w:val="32"/>
          <w:szCs w:val="32"/>
          <w:highlight w:val="none"/>
          <w:u w:val="none"/>
          <w:lang w:val="en-US" w:eastAsia="zh-CN"/>
        </w:rPr>
        <mc:AlternateContent>
          <mc:Choice Requires="wps">
            <w:drawing>
              <wp:anchor distT="0" distB="0" distL="114300" distR="114300" simplePos="0" relativeHeight="251731968" behindDoc="0" locked="0" layoutInCell="1" hidden="1" allowOverlap="1">
                <wp:simplePos x="0" y="0"/>
                <wp:positionH relativeFrom="column">
                  <wp:posOffset>2644775</wp:posOffset>
                </wp:positionH>
                <wp:positionV relativeFrom="paragraph">
                  <wp:posOffset>-192405</wp:posOffset>
                </wp:positionV>
                <wp:extent cx="0" cy="539750"/>
                <wp:effectExtent l="0" t="0" r="0" b="0"/>
                <wp:wrapNone/>
                <wp:docPr id="92" name="直接连接符 92" hidden="1"/>
                <wp:cNvGraphicFramePr/>
                <a:graphic xmlns:a="http://schemas.openxmlformats.org/drawingml/2006/main">
                  <a:graphicData uri="http://schemas.microsoft.com/office/word/2010/wordprocessingShape">
                    <wps:wsp>
                      <wps:cNvCnPr/>
                      <wps:spPr>
                        <a:xfrm>
                          <a:off x="3364865" y="1037590"/>
                          <a:ext cx="0" cy="539750"/>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_x0000_s1026" o:spid="_x0000_s1026" o:spt="20" style="position:absolute;left:0pt;margin-left:208.25pt;margin-top:-15.15pt;height:42.5pt;width:0pt;visibility:hidden;z-index:251731968;mso-width-relative:page;mso-height-relative:page;" filled="f" stroked="t" coordsize="21600,21600" o:gfxdata="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rJrSDNcAAAAKAQAADwAAAAAAAAABACAA&#10;AAAiAAAAZHJzL2Rvd25yZXYueG1sUEsBAhQAFAAAAAgAh07iQJdkh7gOAgAA+QMAAA4AAAAAAAAA&#10;AQAgAAAAJgEAAGRycy9lMm9Eb2MueG1sUEsFBgAAAAAGAAYAWQEAAKYFAAAAAA==&#10;">
                <v:fill on="f" focussize="0,0"/>
                <v:stroke color="#BD4643" joinstyle="round"/>
                <v:imagedata o:title=""/>
                <o:lock v:ext="edit" aspectratio="f"/>
              </v:line>
            </w:pict>
          </mc:Fallback>
        </mc:AlternateContent>
      </w:r>
      <w:r>
        <w:rPr>
          <w:rFonts w:hint="eastAsia" w:ascii="宋体" w:hAnsi="宋体" w:eastAsia="仿宋_GB2312" w:cs="宋体"/>
          <w:i w:val="0"/>
          <w:iCs w:val="0"/>
          <w:spacing w:val="6"/>
          <w:kern w:val="0"/>
          <w:sz w:val="32"/>
          <w:szCs w:val="32"/>
          <w:highlight w:val="none"/>
          <w:u w:val="none"/>
          <w:lang w:val="en-US" w:eastAsia="zh-CN"/>
        </w:rPr>
        <mc:AlternateContent>
          <mc:Choice Requires="wps">
            <w:drawing>
              <wp:anchor distT="0" distB="0" distL="114300" distR="114300" simplePos="0" relativeHeight="251730944" behindDoc="0" locked="0" layoutInCell="1" hidden="1" allowOverlap="1">
                <wp:simplePos x="0" y="0"/>
                <wp:positionH relativeFrom="column">
                  <wp:posOffset>-157480</wp:posOffset>
                </wp:positionH>
                <wp:positionV relativeFrom="paragraph">
                  <wp:posOffset>-200025</wp:posOffset>
                </wp:positionV>
                <wp:extent cx="3460750" cy="0"/>
                <wp:effectExtent l="0" t="0" r="0" b="0"/>
                <wp:wrapNone/>
                <wp:docPr id="91" name="直接连接符 91" hidden="1"/>
                <wp:cNvGraphicFramePr/>
                <a:graphic xmlns:a="http://schemas.openxmlformats.org/drawingml/2006/main">
                  <a:graphicData uri="http://schemas.microsoft.com/office/word/2010/wordprocessingShape">
                    <wps:wsp>
                      <wps:cNvCnPr/>
                      <wps:spPr>
                        <a:xfrm>
                          <a:off x="911860" y="1029970"/>
                          <a:ext cx="3460750" cy="0"/>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_x0000_s1026" o:spid="_x0000_s1026" o:spt="20" style="position:absolute;left:0pt;margin-left:-12.4pt;margin-top:-15.75pt;height:0pt;width:272.5pt;visibility:hidden;z-index:251730944;mso-width-relative:page;mso-height-relative:page;" filled="f" stroked="t" coordsize="21600,21600" o:gfxdata="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bGvdPYAAAACwEAAA8AAAAAAAAAAQAgAAAA&#10;IgAAAGRycy9kb3ducmV2LnhtbFBLAQIUABQAAAAIAIdO4kCHghK8CwIAAPkDAAAOAAAAAAAAAAEA&#10;IAAAACcBAABkcnMvZTJvRG9jLnhtbFBLBQYAAAAABgAGAFkBAACkBQAAAAA=&#10;">
                <v:fill on="f" focussize="0,0"/>
                <v:stroke color="#BD4643" joinstyle="round"/>
                <v:imagedata o:title=""/>
                <o:lock v:ext="edit" aspectratio="f"/>
              </v:line>
            </w:pict>
          </mc:Fallback>
        </mc:AlternateContent>
      </w:r>
      <w:r>
        <w:rPr>
          <w:rFonts w:hint="eastAsia" w:ascii="宋体" w:hAnsi="宋体" w:eastAsia="仿宋_GB2312" w:cs="宋体"/>
          <w:i w:val="0"/>
          <w:iCs w:val="0"/>
          <w:spacing w:val="6"/>
          <w:kern w:val="0"/>
          <w:sz w:val="32"/>
          <w:szCs w:val="32"/>
          <w:highlight w:val="none"/>
          <w:u w:val="none"/>
          <w:lang w:val="en-US" w:eastAsia="zh-CN"/>
        </w:rPr>
        <mc:AlternateContent>
          <mc:Choice Requires="wps">
            <w:drawing>
              <wp:anchor distT="0" distB="0" distL="114300" distR="114300" simplePos="0" relativeHeight="251729920" behindDoc="0" locked="0" layoutInCell="1" hidden="1" allowOverlap="1">
                <wp:simplePos x="0" y="0"/>
                <wp:positionH relativeFrom="column">
                  <wp:posOffset>374650</wp:posOffset>
                </wp:positionH>
                <wp:positionV relativeFrom="paragraph">
                  <wp:posOffset>-1224280</wp:posOffset>
                </wp:positionV>
                <wp:extent cx="0" cy="899795"/>
                <wp:effectExtent l="0" t="0" r="0" b="0"/>
                <wp:wrapNone/>
                <wp:docPr id="90" name="直接连接符 90" hidden="1"/>
                <wp:cNvGraphicFramePr/>
                <a:graphic xmlns:a="http://schemas.openxmlformats.org/drawingml/2006/main">
                  <a:graphicData uri="http://schemas.microsoft.com/office/word/2010/wordprocessingShape">
                    <wps:wsp>
                      <wps:cNvCnPr/>
                      <wps:spPr>
                        <a:xfrm>
                          <a:off x="1094740" y="5715"/>
                          <a:ext cx="0" cy="899795"/>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_x0000_s1026" o:spid="_x0000_s1026" o:spt="20" style="position:absolute;left:0pt;margin-left:29.5pt;margin-top:-96.4pt;height:70.85pt;width:0pt;visibility:hidden;z-index:251729920;mso-width-relative:page;mso-height-relative:page;" filled="f" stroked="t" coordsize="21600,21600" o:gfxdata="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lRHdGNcAAAAKAQAADwAAAAAAAAABACAAAAAi&#10;AAAAZHJzL2Rvd25yZXYueG1sUEsBAhQAFAAAAAgAh07iQMBKBn4LAgAA9gMAAA4AAAAAAAAAAQAg&#10;AAAAJgEAAGRycy9lMm9Eb2MueG1sUEsFBgAAAAAGAAYAWQEAAKMFAAAAAA==&#10;">
                <v:fill on="f" focussize="0,0"/>
                <v:stroke color="#BD4643" joinstyle="round"/>
                <v:imagedata o:title=""/>
                <o:lock v:ext="edit" aspectratio="f"/>
              </v:line>
            </w:pict>
          </mc:Fallback>
        </mc:AlternateContent>
      </w:r>
      <w:r>
        <w:rPr>
          <w:rFonts w:hint="eastAsia" w:ascii="宋体" w:hAnsi="宋体" w:eastAsia="仿宋_GB2312" w:cs="宋体"/>
          <w:i w:val="0"/>
          <w:iCs w:val="0"/>
          <w:spacing w:val="6"/>
          <w:kern w:val="0"/>
          <w:sz w:val="32"/>
          <w:szCs w:val="32"/>
          <w:highlight w:val="none"/>
          <w:u w:val="none"/>
          <w:lang w:val="en-US" w:eastAsia="zh-CN"/>
        </w:rPr>
        <w:t>附录A</w:t>
      </w:r>
      <w:bookmarkEnd w:id="223"/>
      <w:bookmarkEnd w:id="224"/>
      <w:bookmarkEnd w:id="225"/>
      <w:bookmarkStart w:id="226" w:name="_Toc47195677"/>
      <w:bookmarkStart w:id="227" w:name="_Toc47195915"/>
      <w:bookmarkStart w:id="228" w:name="_Toc47195699"/>
      <w:r>
        <w:rPr>
          <w:rFonts w:hint="eastAsia" w:ascii="宋体" w:hAnsi="宋体" w:eastAsia="仿宋_GB2312" w:cs="宋体"/>
          <w:spacing w:val="6"/>
          <w:kern w:val="0"/>
          <w:sz w:val="32"/>
          <w:szCs w:val="32"/>
          <w:highlight w:val="none"/>
          <w:lang w:val="en-US" w:eastAsia="zh-CN"/>
        </w:rPr>
        <mc:AlternateContent>
          <mc:Choice Requires="wps">
            <w:drawing>
              <wp:anchor distT="0" distB="0" distL="114300" distR="114300" simplePos="0" relativeHeight="251732992" behindDoc="0" locked="0" layoutInCell="1" hidden="1" allowOverlap="1">
                <wp:simplePos x="0" y="0"/>
                <wp:positionH relativeFrom="column">
                  <wp:posOffset>1581150</wp:posOffset>
                </wp:positionH>
                <wp:positionV relativeFrom="paragraph">
                  <wp:posOffset>170815</wp:posOffset>
                </wp:positionV>
                <wp:extent cx="0" cy="179705"/>
                <wp:effectExtent l="0" t="0" r="0" b="0"/>
                <wp:wrapNone/>
                <wp:docPr id="93" name="直接连接符 93" hidden="1"/>
                <wp:cNvGraphicFramePr/>
                <a:graphic xmlns:a="http://schemas.openxmlformats.org/drawingml/2006/main">
                  <a:graphicData uri="http://schemas.microsoft.com/office/word/2010/wordprocessingShape">
                    <wps:wsp>
                      <wps:cNvCnPr/>
                      <wps:spPr>
                        <a:xfrm>
                          <a:off x="2301240" y="2109470"/>
                          <a:ext cx="0" cy="179705"/>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_x0000_s1026" o:spid="_x0000_s1026" o:spt="20" style="position:absolute;left:0pt;margin-left:124.5pt;margin-top:13.45pt;height:14.15pt;width:0pt;visibility:hidden;z-index:251732992;mso-width-relative:page;mso-height-relative:page;" filled="f" stroked="t" coordsize="21600,21600" o:gfxdata="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4wXnkNcAAAAJAQAADwAAAAAAAAABACAAAAAi&#10;AAAAZHJzL2Rvd25yZXYueG1sUEsBAhQAFAAAAAgAh07iQJWUfs8LAgAA+QMAAA4AAAAAAAAAAQAg&#10;AAAAJgEAAGRycy9lMm9Eb2MueG1sUEsFBgAAAAAGAAYAWQEAAKMFAAAAAA==&#10;">
                <v:fill on="f" focussize="0,0"/>
                <v:stroke color="#BD4643" joinstyle="round"/>
                <v:imagedata o:title=""/>
                <o:lock v:ext="edit" aspectratio="f"/>
              </v:line>
            </w:pict>
          </mc:Fallback>
        </mc:AlternateContent>
      </w:r>
      <w:bookmarkEnd w:id="226"/>
      <w:bookmarkEnd w:id="227"/>
      <w:bookmarkEnd w:id="228"/>
      <w:r>
        <w:rPr>
          <w:rFonts w:hint="eastAsia" w:ascii="宋体" w:hAnsi="宋体" w:eastAsia="仿宋_GB2312" w:cs="宋体"/>
          <w:spacing w:val="6"/>
          <w:kern w:val="0"/>
          <w:sz w:val="32"/>
          <w:szCs w:val="32"/>
          <w:highlight w:val="none"/>
          <w:lang w:val="en-US" w:eastAsia="zh-CN"/>
        </w:rPr>
        <w:t>给出了海洋石油天然气企业安全现状评价记录清单。</w:t>
      </w:r>
    </w:p>
    <w:p w14:paraId="1710C0EA">
      <w:pPr>
        <w:keepNext w:val="0"/>
        <w:keepLines w:val="0"/>
        <w:pageBreakBefore w:val="0"/>
        <w:widowControl/>
        <w:kinsoku/>
        <w:wordWrap/>
        <w:overflowPunct w:val="0"/>
        <w:topLinePunct w:val="0"/>
        <w:autoSpaceDE/>
        <w:autoSpaceDN/>
        <w:bidi w:val="0"/>
        <w:adjustRightInd/>
        <w:snapToGrid/>
        <w:spacing w:line="560" w:lineRule="exact"/>
        <w:ind w:firstLine="664" w:firstLineChars="200"/>
        <w:textAlignment w:val="auto"/>
        <w:rPr>
          <w:rFonts w:hint="default" w:ascii="宋体" w:hAnsi="宋体" w:eastAsia="仿宋_GB2312" w:cs="宋体"/>
          <w:i w:val="0"/>
          <w:iCs w:val="0"/>
          <w:spacing w:val="6"/>
          <w:kern w:val="0"/>
          <w:sz w:val="32"/>
          <w:szCs w:val="32"/>
          <w:highlight w:val="none"/>
          <w:u w:val="none"/>
          <w:lang w:val="en-US" w:eastAsia="zh-CN"/>
        </w:rPr>
      </w:pPr>
      <w:bookmarkStart w:id="229" w:name="_Toc1456"/>
      <w:bookmarkStart w:id="230" w:name="_Toc20716"/>
      <w:bookmarkStart w:id="231" w:name="_Toc11472"/>
      <w:bookmarkStart w:id="232" w:name="_Toc19897"/>
      <w:bookmarkStart w:id="233" w:name="_Toc21971"/>
      <w:r>
        <w:rPr>
          <w:rFonts w:hint="eastAsia" w:ascii="宋体" w:hAnsi="宋体" w:eastAsia="仿宋_GB2312" w:cs="宋体"/>
          <w:i w:val="0"/>
          <w:iCs w:val="0"/>
          <w:spacing w:val="6"/>
          <w:kern w:val="0"/>
          <w:sz w:val="32"/>
          <w:szCs w:val="32"/>
          <w:highlight w:val="none"/>
          <w:u w:val="none"/>
          <w:lang w:val="en-US" w:eastAsia="zh-CN"/>
        </w:rPr>
        <mc:AlternateContent>
          <mc:Choice Requires="wps">
            <w:drawing>
              <wp:anchor distT="0" distB="0" distL="114300" distR="114300" simplePos="0" relativeHeight="251736064" behindDoc="0" locked="0" layoutInCell="1" hidden="1" allowOverlap="1">
                <wp:simplePos x="0" y="0"/>
                <wp:positionH relativeFrom="column">
                  <wp:posOffset>2956560</wp:posOffset>
                </wp:positionH>
                <wp:positionV relativeFrom="paragraph">
                  <wp:posOffset>-196215</wp:posOffset>
                </wp:positionV>
                <wp:extent cx="0" cy="539750"/>
                <wp:effectExtent l="0" t="0" r="0" b="0"/>
                <wp:wrapNone/>
                <wp:docPr id="40" name="直接连接符 96" hidden="1"/>
                <wp:cNvGraphicFramePr/>
                <a:graphic xmlns:a="http://schemas.openxmlformats.org/drawingml/2006/main">
                  <a:graphicData uri="http://schemas.microsoft.com/office/word/2010/wordprocessingShape">
                    <wps:wsp>
                      <wps:cNvCnPr/>
                      <wps:spPr>
                        <a:xfrm>
                          <a:off x="4357370" y="1014730"/>
                          <a:ext cx="0" cy="539750"/>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直接连接符 96" o:spid="_x0000_s1026" o:spt="20" style="position:absolute;left:0pt;margin-left:232.8pt;margin-top:-15.45pt;height:42.5pt;width:0pt;visibility:hidden;z-index:251736064;mso-width-relative:page;mso-height-relative:page;" filled="f" stroked="t" coordsize="21600,21600" o:gfxdata="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PlInSnXAAAACgEAAA8AAAAAAAAAAQAg&#10;AAAAIgAAAGRycy9kb3ducmV2LnhtbFBLAQIUABQAAAAIAIdO4kBdQ3N2DwIAAPkDAAAOAAAAAAAA&#10;AAEAIAAAACYBAABkcnMvZTJvRG9jLnhtbFBLBQYAAAAABgAGAFkBAACnBQAAAAA=&#10;">
                <v:fill on="f" focussize="0,0"/>
                <v:stroke color="#BD4643" joinstyle="round"/>
                <v:imagedata o:title=""/>
                <o:lock v:ext="edit" aspectratio="f"/>
              </v:line>
            </w:pict>
          </mc:Fallback>
        </mc:AlternateContent>
      </w:r>
      <w:r>
        <w:rPr>
          <w:rFonts w:hint="eastAsia" w:ascii="宋体" w:hAnsi="宋体" w:eastAsia="仿宋_GB2312" w:cs="宋体"/>
          <w:i w:val="0"/>
          <w:iCs w:val="0"/>
          <w:spacing w:val="6"/>
          <w:kern w:val="0"/>
          <w:sz w:val="32"/>
          <w:szCs w:val="32"/>
          <w:highlight w:val="none"/>
          <w:u w:val="none"/>
          <w:lang w:val="en-US" w:eastAsia="zh-CN"/>
        </w:rPr>
        <mc:AlternateContent>
          <mc:Choice Requires="wps">
            <w:drawing>
              <wp:anchor distT="0" distB="0" distL="114300" distR="114300" simplePos="0" relativeHeight="251735040" behindDoc="0" locked="0" layoutInCell="1" hidden="1" allowOverlap="1">
                <wp:simplePos x="0" y="0"/>
                <wp:positionH relativeFrom="column">
                  <wp:posOffset>2561590</wp:posOffset>
                </wp:positionH>
                <wp:positionV relativeFrom="paragraph">
                  <wp:posOffset>-203835</wp:posOffset>
                </wp:positionV>
                <wp:extent cx="2828925" cy="0"/>
                <wp:effectExtent l="0" t="0" r="0" b="0"/>
                <wp:wrapNone/>
                <wp:docPr id="41" name="直接连接符 95" hidden="1"/>
                <wp:cNvGraphicFramePr/>
                <a:graphic xmlns:a="http://schemas.openxmlformats.org/drawingml/2006/main">
                  <a:graphicData uri="http://schemas.microsoft.com/office/word/2010/wordprocessingShape">
                    <wps:wsp>
                      <wps:cNvCnPr/>
                      <wps:spPr>
                        <a:xfrm flipH="1">
                          <a:off x="3281045" y="1043305"/>
                          <a:ext cx="2828925" cy="0"/>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直接连接符 95" o:spid="_x0000_s1026" o:spt="20" style="position:absolute;left:0pt;flip:x;margin-left:201.7pt;margin-top:-16.05pt;height:0pt;width:222.75pt;visibility:hidden;z-index:251735040;mso-width-relative:page;mso-height-relative:page;" filled="f" stroked="t" coordsize="21600,21600" o:gfxdata="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FxaUZ1gAAAAsBAAAPAAAA&#10;AAAAAAEAIAAAACIAAABkcnMvZG93bnJldi54bWxQSwECFAAUAAAACACHTuJALRnCMxcCAAAEBAAA&#10;DgAAAAAAAAABACAAAAAlAQAAZHJzL2Uyb0RvYy54bWxQSwUGAAAAAAYABgBZAQAArgUAAAAA&#10;">
                <v:fill on="f" focussize="0,0"/>
                <v:stroke color="#BD4643" joinstyle="round"/>
                <v:imagedata o:title=""/>
                <o:lock v:ext="edit" aspectratio="f"/>
              </v:line>
            </w:pict>
          </mc:Fallback>
        </mc:AlternateContent>
      </w:r>
      <w:r>
        <w:rPr>
          <w:rFonts w:hint="eastAsia" w:ascii="宋体" w:hAnsi="宋体" w:eastAsia="仿宋_GB2312" w:cs="宋体"/>
          <w:i w:val="0"/>
          <w:iCs w:val="0"/>
          <w:spacing w:val="6"/>
          <w:kern w:val="0"/>
          <w:sz w:val="32"/>
          <w:szCs w:val="32"/>
          <w:highlight w:val="none"/>
          <w:u w:val="none"/>
          <w:lang w:val="en-US" w:eastAsia="zh-CN"/>
        </w:rPr>
        <mc:AlternateContent>
          <mc:Choice Requires="wps">
            <w:drawing>
              <wp:anchor distT="0" distB="0" distL="114300" distR="114300" simplePos="0" relativeHeight="251734016" behindDoc="0" locked="0" layoutInCell="1" hidden="1" allowOverlap="1">
                <wp:simplePos x="0" y="0"/>
                <wp:positionH relativeFrom="column">
                  <wp:posOffset>5028565</wp:posOffset>
                </wp:positionH>
                <wp:positionV relativeFrom="paragraph">
                  <wp:posOffset>-1229995</wp:posOffset>
                </wp:positionV>
                <wp:extent cx="0" cy="899795"/>
                <wp:effectExtent l="0" t="0" r="0" b="0"/>
                <wp:wrapNone/>
                <wp:docPr id="43" name="直接连接符 94" hidden="1"/>
                <wp:cNvGraphicFramePr/>
                <a:graphic xmlns:a="http://schemas.openxmlformats.org/drawingml/2006/main">
                  <a:graphicData uri="http://schemas.microsoft.com/office/word/2010/wordprocessingShape">
                    <wps:wsp>
                      <wps:cNvCnPr/>
                      <wps:spPr>
                        <a:xfrm>
                          <a:off x="5719445" y="14605"/>
                          <a:ext cx="0" cy="899795"/>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直接连接符 94" o:spid="_x0000_s1026" o:spt="20" style="position:absolute;left:0pt;margin-left:395.95pt;margin-top:-96.85pt;height:70.85pt;width:0pt;visibility:hidden;z-index:251734016;mso-width-relative:page;mso-height-relative:page;" filled="f" stroked="t" coordsize="21600,21600" o:gfxdata="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8NUjXNkAAAAMAQAADwAAAAAAAAAB&#10;ACAAAAAiAAAAZHJzL2Rvd25yZXYueG1sUEsBAhQAFAAAAAgAh07iQPYz7vcPAgAA9wMAAA4AAAAA&#10;AAAAAQAgAAAAKAEAAGRycy9lMm9Eb2MueG1sUEsFBgAAAAAGAAYAWQEAAKkFAAAAAA==&#10;">
                <v:fill on="f" focussize="0,0"/>
                <v:stroke color="#BD4643" joinstyle="round"/>
                <v:imagedata o:title=""/>
                <o:lock v:ext="edit" aspectratio="f"/>
              </v:line>
            </w:pict>
          </mc:Fallback>
        </mc:AlternateContent>
      </w:r>
      <w:bookmarkEnd w:id="229"/>
      <w:r>
        <w:rPr>
          <w:rFonts w:hint="eastAsia" w:ascii="宋体" w:hAnsi="宋体" w:eastAsia="仿宋_GB2312" w:cs="宋体"/>
          <w:i w:val="0"/>
          <w:iCs w:val="0"/>
          <w:spacing w:val="6"/>
          <w:kern w:val="0"/>
          <w:sz w:val="32"/>
          <w:szCs w:val="32"/>
          <w:highlight w:val="none"/>
          <w:u w:val="none"/>
          <w:lang w:val="en-US" w:eastAsia="zh-CN"/>
        </w:rPr>
        <mc:AlternateContent>
          <mc:Choice Requires="wps">
            <w:drawing>
              <wp:anchor distT="0" distB="0" distL="114300" distR="114300" simplePos="0" relativeHeight="251739136" behindDoc="0" locked="0" layoutInCell="1" hidden="1" allowOverlap="1">
                <wp:simplePos x="0" y="0"/>
                <wp:positionH relativeFrom="column">
                  <wp:posOffset>2970530</wp:posOffset>
                </wp:positionH>
                <wp:positionV relativeFrom="paragraph">
                  <wp:posOffset>-187325</wp:posOffset>
                </wp:positionV>
                <wp:extent cx="0" cy="539750"/>
                <wp:effectExtent l="0" t="0" r="0" b="0"/>
                <wp:wrapNone/>
                <wp:docPr id="48" name="直接连接符 99" hidden="1"/>
                <wp:cNvGraphicFramePr/>
                <a:graphic xmlns:a="http://schemas.openxmlformats.org/drawingml/2006/main">
                  <a:graphicData uri="http://schemas.microsoft.com/office/word/2010/wordprocessingShape">
                    <wps:wsp>
                      <wps:cNvCnPr/>
                      <wps:spPr>
                        <a:xfrm>
                          <a:off x="3690620" y="1033145"/>
                          <a:ext cx="0" cy="539750"/>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直接连接符 99" o:spid="_x0000_s1026" o:spt="20" style="position:absolute;left:0pt;margin-left:233.9pt;margin-top:-14.75pt;height:42.5pt;width:0pt;visibility:hidden;z-index:251739136;mso-width-relative:page;mso-height-relative:page;" filled="f" stroked="t" coordsize="21600,21600" o:gfxdata="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uzrv3dcAAAAKAQAADwAAAAAAAAAB&#10;ACAAAAAiAAAAZHJzL2Rvd25yZXYueG1sUEsBAhQAFAAAAAgAh07iQHQNE70RAgAA+QMAAA4AAAAA&#10;AAAAAQAgAAAAJgEAAGRycy9lMm9Eb2MueG1sUEsFBgAAAAAGAAYAWQEAAKkFAAAAAA==&#10;">
                <v:fill on="f" focussize="0,0"/>
                <v:stroke color="#BD4643" joinstyle="round"/>
                <v:imagedata o:title=""/>
                <o:lock v:ext="edit" aspectratio="f"/>
              </v:line>
            </w:pict>
          </mc:Fallback>
        </mc:AlternateContent>
      </w:r>
      <w:r>
        <w:rPr>
          <w:rFonts w:hint="eastAsia" w:ascii="宋体" w:hAnsi="宋体" w:eastAsia="仿宋_GB2312" w:cs="宋体"/>
          <w:i w:val="0"/>
          <w:iCs w:val="0"/>
          <w:spacing w:val="6"/>
          <w:kern w:val="0"/>
          <w:sz w:val="32"/>
          <w:szCs w:val="32"/>
          <w:highlight w:val="none"/>
          <w:u w:val="none"/>
          <w:lang w:val="en-US" w:eastAsia="zh-CN"/>
        </w:rPr>
        <mc:AlternateContent>
          <mc:Choice Requires="wps">
            <w:drawing>
              <wp:anchor distT="0" distB="0" distL="114300" distR="114300" simplePos="0" relativeHeight="251738112" behindDoc="0" locked="0" layoutInCell="1" hidden="1" allowOverlap="1">
                <wp:simplePos x="0" y="0"/>
                <wp:positionH relativeFrom="column">
                  <wp:posOffset>-191770</wp:posOffset>
                </wp:positionH>
                <wp:positionV relativeFrom="paragraph">
                  <wp:posOffset>-195580</wp:posOffset>
                </wp:positionV>
                <wp:extent cx="3419475" cy="0"/>
                <wp:effectExtent l="0" t="0" r="0" b="0"/>
                <wp:wrapNone/>
                <wp:docPr id="51" name="直接连接符 98" hidden="1"/>
                <wp:cNvGraphicFramePr/>
                <a:graphic xmlns:a="http://schemas.openxmlformats.org/drawingml/2006/main">
                  <a:graphicData uri="http://schemas.microsoft.com/office/word/2010/wordprocessingShape">
                    <wps:wsp>
                      <wps:cNvCnPr/>
                      <wps:spPr>
                        <a:xfrm>
                          <a:off x="909320" y="1034415"/>
                          <a:ext cx="3419475" cy="0"/>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直接连接符 98" o:spid="_x0000_s1026" o:spt="20" style="position:absolute;left:0pt;margin-left:-15.1pt;margin-top:-15.4pt;height:0pt;width:269.25pt;visibility:hidden;z-index:251738112;mso-width-relative:page;mso-height-relative:page;" filled="f" stroked="t" coordsize="21600,21600" o:gfxdata="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Jos0d1gAAAAsBAAAPAAAAAAAAAAEA&#10;IAAAACIAAABkcnMvZG93bnJldi54bWxQSwECFAAUAAAACACHTuJAyVOW1hECAAD5AwAADgAAAAAA&#10;AAABACAAAAAlAQAAZHJzL2Uyb0RvYy54bWxQSwUGAAAAAAYABgBZAQAAqAUAAAAA&#10;">
                <v:fill on="f" focussize="0,0"/>
                <v:stroke color="#BD4643" joinstyle="round"/>
                <v:imagedata o:title=""/>
                <o:lock v:ext="edit" aspectratio="f"/>
              </v:line>
            </w:pict>
          </mc:Fallback>
        </mc:AlternateContent>
      </w:r>
      <w:r>
        <w:rPr>
          <w:rFonts w:hint="eastAsia" w:ascii="宋体" w:hAnsi="宋体" w:eastAsia="仿宋_GB2312" w:cs="宋体"/>
          <w:i w:val="0"/>
          <w:iCs w:val="0"/>
          <w:spacing w:val="6"/>
          <w:kern w:val="0"/>
          <w:sz w:val="32"/>
          <w:szCs w:val="32"/>
          <w:highlight w:val="none"/>
          <w:u w:val="none"/>
          <w:lang w:val="en-US" w:eastAsia="zh-CN"/>
        </w:rPr>
        <mc:AlternateContent>
          <mc:Choice Requires="wps">
            <w:drawing>
              <wp:anchor distT="0" distB="0" distL="114300" distR="114300" simplePos="0" relativeHeight="251737088" behindDoc="0" locked="0" layoutInCell="1" hidden="1" allowOverlap="1">
                <wp:simplePos x="0" y="0"/>
                <wp:positionH relativeFrom="column">
                  <wp:posOffset>36830</wp:posOffset>
                </wp:positionH>
                <wp:positionV relativeFrom="paragraph">
                  <wp:posOffset>-1233805</wp:posOffset>
                </wp:positionV>
                <wp:extent cx="0" cy="899795"/>
                <wp:effectExtent l="0" t="0" r="0" b="0"/>
                <wp:wrapNone/>
                <wp:docPr id="52" name="直接连接符 97" hidden="1"/>
                <wp:cNvGraphicFramePr/>
                <a:graphic xmlns:a="http://schemas.openxmlformats.org/drawingml/2006/main">
                  <a:graphicData uri="http://schemas.microsoft.com/office/word/2010/wordprocessingShape">
                    <wps:wsp>
                      <wps:cNvCnPr/>
                      <wps:spPr>
                        <a:xfrm>
                          <a:off x="1099820" y="5715"/>
                          <a:ext cx="0" cy="899795"/>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直接连接符 97" o:spid="_x0000_s1026" o:spt="20" style="position:absolute;left:0pt;margin-left:2.9pt;margin-top:-97.15pt;height:70.85pt;width:0pt;visibility:hidden;z-index:251737088;mso-width-relative:page;mso-height-relative:page;" filled="f" stroked="t" coordsize="21600,21600" o:gfxdata="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Idbm2HWAAAACAEAAA8AAAAAAAAAAQAgAAAA&#10;IgAAAGRycy9kb3ducmV2LnhtbFBLAQIUABQAAAAIAIdO4kBZZw7+DQIAAPYDAAAOAAAAAAAAAAEA&#10;IAAAACUBAABkcnMvZTJvRG9jLnhtbFBLBQYAAAAABgAGAFkBAACkBQAAAAA=&#10;">
                <v:fill on="f" focussize="0,0"/>
                <v:stroke color="#BD4643" joinstyle="round"/>
                <v:imagedata o:title=""/>
                <o:lock v:ext="edit" aspectratio="f"/>
              </v:line>
            </w:pict>
          </mc:Fallback>
        </mc:AlternateContent>
      </w:r>
      <w:r>
        <w:rPr>
          <w:rFonts w:hint="eastAsia" w:ascii="宋体" w:hAnsi="宋体" w:eastAsia="仿宋_GB2312" w:cs="宋体"/>
          <w:i w:val="0"/>
          <w:iCs w:val="0"/>
          <w:spacing w:val="6"/>
          <w:kern w:val="0"/>
          <w:sz w:val="32"/>
          <w:szCs w:val="32"/>
          <w:highlight w:val="none"/>
          <w:u w:val="none"/>
          <w:lang w:val="en-US" w:eastAsia="zh-CN"/>
        </w:rPr>
        <w:t>附录B</w:t>
      </w:r>
      <w:bookmarkEnd w:id="230"/>
      <w:bookmarkEnd w:id="231"/>
      <w:bookmarkEnd w:id="232"/>
      <w:bookmarkEnd w:id="233"/>
      <w:r>
        <w:rPr>
          <w:rFonts w:hint="eastAsia" w:ascii="宋体" w:hAnsi="宋体" w:eastAsia="仿宋_GB2312" w:cs="宋体"/>
          <w:i w:val="0"/>
          <w:iCs w:val="0"/>
          <w:spacing w:val="6"/>
          <w:kern w:val="0"/>
          <w:sz w:val="32"/>
          <w:szCs w:val="32"/>
          <w:highlight w:val="none"/>
          <w:u w:val="none"/>
          <w:lang w:val="en-US" w:eastAsia="zh-CN"/>
        </w:rPr>
        <w:t>明确了常用的安全现状评价方法。</w:t>
      </w:r>
    </w:p>
    <w:p w14:paraId="4B67DD8F">
      <w:pPr>
        <w:keepNext w:val="0"/>
        <w:keepLines w:val="0"/>
        <w:pageBreakBefore w:val="0"/>
        <w:widowControl/>
        <w:kinsoku/>
        <w:wordWrap/>
        <w:overflowPunct w:val="0"/>
        <w:topLinePunct w:val="0"/>
        <w:autoSpaceDE/>
        <w:autoSpaceDN/>
        <w:bidi w:val="0"/>
        <w:adjustRightInd/>
        <w:snapToGrid/>
        <w:spacing w:line="560" w:lineRule="exact"/>
        <w:ind w:firstLine="664" w:firstLineChars="200"/>
        <w:textAlignment w:val="auto"/>
        <w:rPr>
          <w:rFonts w:hint="default" w:ascii="宋体" w:hAnsi="宋体" w:eastAsia="仿宋_GB2312" w:cs="宋体"/>
          <w:spacing w:val="5"/>
          <w:kern w:val="0"/>
          <w:sz w:val="32"/>
          <w:szCs w:val="32"/>
          <w:highlight w:val="none"/>
          <w:lang w:val="en-US" w:eastAsia="zh-CN"/>
        </w:rPr>
      </w:pPr>
      <w:r>
        <w:rPr>
          <w:rFonts w:hint="eastAsia" w:ascii="宋体" w:hAnsi="宋体" w:eastAsia="仿宋_GB2312" w:cs="宋体"/>
          <w:i w:val="0"/>
          <w:iCs w:val="0"/>
          <w:spacing w:val="6"/>
          <w:kern w:val="0"/>
          <w:sz w:val="32"/>
          <w:szCs w:val="32"/>
          <w:highlight w:val="none"/>
          <w:u w:val="none"/>
          <w:lang w:val="en-US" w:eastAsia="zh-CN"/>
        </w:rPr>
        <w:t>附录C</w:t>
      </w:r>
      <w:r>
        <w:rPr>
          <w:rFonts w:hint="eastAsia" w:ascii="宋体" w:hAnsi="宋体" w:eastAsia="仿宋_GB2312" w:cs="宋体"/>
          <w:i w:val="0"/>
          <w:iCs w:val="0"/>
          <w:spacing w:val="5"/>
          <w:kern w:val="0"/>
          <w:sz w:val="32"/>
          <w:szCs w:val="32"/>
          <w:highlight w:val="none"/>
          <w:lang w:val="en-US" w:eastAsia="zh-CN"/>
        </w:rPr>
        <w:t>规范了</w:t>
      </w:r>
      <w:r>
        <w:rPr>
          <w:rFonts w:hint="eastAsia" w:ascii="宋体" w:hAnsi="宋体" w:eastAsia="仿宋_GB2312" w:cs="宋体"/>
          <w:i w:val="0"/>
          <w:iCs w:val="0"/>
          <w:spacing w:val="5"/>
          <w:kern w:val="0"/>
          <w:sz w:val="32"/>
          <w:szCs w:val="32"/>
          <w:highlight w:val="none"/>
          <w:lang w:val="en-US" w:eastAsia="zh-CN"/>
        </w:rPr>
        <mc:AlternateContent>
          <mc:Choice Requires="wps">
            <w:drawing>
              <wp:anchor distT="0" distB="0" distL="114300" distR="114300" simplePos="0" relativeHeight="251741184" behindDoc="0" locked="0" layoutInCell="1" hidden="1" allowOverlap="1">
                <wp:simplePos x="0" y="0"/>
                <wp:positionH relativeFrom="column">
                  <wp:posOffset>732155</wp:posOffset>
                </wp:positionH>
                <wp:positionV relativeFrom="paragraph">
                  <wp:posOffset>160655</wp:posOffset>
                </wp:positionV>
                <wp:extent cx="0" cy="179705"/>
                <wp:effectExtent l="0" t="0" r="0" b="0"/>
                <wp:wrapNone/>
                <wp:docPr id="10" name="直接连接符 102" hidden="1"/>
                <wp:cNvGraphicFramePr/>
                <a:graphic xmlns:a="http://schemas.openxmlformats.org/drawingml/2006/main">
                  <a:graphicData uri="http://schemas.microsoft.com/office/word/2010/wordprocessingShape">
                    <wps:wsp>
                      <wps:cNvCnPr/>
                      <wps:spPr>
                        <a:xfrm>
                          <a:off x="1452245" y="2104390"/>
                          <a:ext cx="0" cy="179705"/>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直接连接符 102" o:spid="_x0000_s1026" o:spt="20" style="position:absolute;left:0pt;margin-left:57.65pt;margin-top:12.65pt;height:14.15pt;width:0pt;visibility:hidden;z-index:251741184;mso-width-relative:page;mso-height-relative:page;" filled="f" stroked="t" coordsize="21600,21600" o:gfxdata="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IBHmY/VAAAACQEAAA8AAAAAAAAAAQAgAAAA&#10;IgAAAGRycy9kb3ducmV2LnhtbFBLAQIUABQAAAAIAIdO4kB+4787DgIAAPoDAAAOAAAAAAAAAAEA&#10;IAAAACQBAABkcnMvZTJvRG9jLnhtbFBLBQYAAAAABgAGAFkBAACkBQAAAAA=&#10;">
                <v:fill on="f" focussize="0,0"/>
                <v:stroke color="#BD4643" joinstyle="round"/>
                <v:imagedata o:title=""/>
                <o:lock v:ext="edit" aspectratio="f"/>
              </v:line>
            </w:pict>
          </mc:Fallback>
        </mc:AlternateContent>
      </w:r>
      <w:r>
        <w:rPr>
          <w:rFonts w:hint="eastAsia" w:ascii="宋体" w:hAnsi="宋体" w:eastAsia="仿宋_GB2312" w:cs="宋体"/>
          <w:i w:val="0"/>
          <w:iCs w:val="0"/>
          <w:spacing w:val="5"/>
          <w:kern w:val="0"/>
          <w:sz w:val="32"/>
          <w:szCs w:val="32"/>
          <w:highlight w:val="none"/>
          <w:lang w:val="en-US" w:eastAsia="zh-CN"/>
        </w:rPr>
        <mc:AlternateContent>
          <mc:Choice Requires="wps">
            <w:drawing>
              <wp:anchor distT="0" distB="0" distL="114300" distR="114300" simplePos="0" relativeHeight="251740160" behindDoc="0" locked="0" layoutInCell="1" hidden="1" allowOverlap="1">
                <wp:simplePos x="0" y="0"/>
                <wp:positionH relativeFrom="column">
                  <wp:posOffset>-210820</wp:posOffset>
                </wp:positionH>
                <wp:positionV relativeFrom="paragraph">
                  <wp:posOffset>160655</wp:posOffset>
                </wp:positionV>
                <wp:extent cx="3267075" cy="0"/>
                <wp:effectExtent l="0" t="0" r="0" b="0"/>
                <wp:wrapNone/>
                <wp:docPr id="9" name="直接连接符 101" hidden="1"/>
                <wp:cNvGraphicFramePr/>
                <a:graphic xmlns:a="http://schemas.openxmlformats.org/drawingml/2006/main">
                  <a:graphicData uri="http://schemas.microsoft.com/office/word/2010/wordprocessingShape">
                    <wps:wsp>
                      <wps:cNvCnPr/>
                      <wps:spPr>
                        <a:xfrm flipH="1">
                          <a:off x="509270" y="2104390"/>
                          <a:ext cx="3267075" cy="0"/>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直接连接符 101" o:spid="_x0000_s1026" o:spt="20" style="position:absolute;left:0pt;flip:x;margin-left:-16.6pt;margin-top:12.65pt;height:0pt;width:257.25pt;visibility:hidden;z-index:251740160;mso-width-relative:page;mso-height-relative:page;" filled="f" stroked="t" coordsize="21600,21600" o:gfxdata="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C9108/UAAAACQEAAA8AAAAAAAAA&#10;AQAgAAAAIgAAAGRycy9kb3ducmV2LnhtbFBLAQIUABQAAAAIAIdO4kDfyV8tFQIAAAMEAAAOAAAA&#10;AAAAAAEAIAAAACMBAABkcnMvZTJvRG9jLnhtbFBLBQYAAAAABgAGAFkBAACqBQAAAAA=&#10;">
                <v:fill on="f" focussize="0,0"/>
                <v:stroke color="#BD4643" joinstyle="round"/>
                <v:imagedata o:title=""/>
                <o:lock v:ext="edit" aspectratio="f"/>
              </v:line>
            </w:pict>
          </mc:Fallback>
        </mc:AlternateContent>
      </w:r>
      <w:r>
        <w:rPr>
          <w:rFonts w:hint="eastAsia" w:ascii="宋体" w:hAnsi="宋体" w:eastAsia="仿宋_GB2312" w:cs="宋体"/>
          <w:i w:val="0"/>
          <w:iCs w:val="0"/>
          <w:spacing w:val="5"/>
          <w:kern w:val="0"/>
          <w:sz w:val="32"/>
          <w:szCs w:val="32"/>
          <w:highlight w:val="none"/>
          <w:lang w:val="en-US" w:eastAsia="zh-CN"/>
        </w:rPr>
        <w:t>海洋石油天然气企业安全现状评价</w:t>
      </w:r>
      <w:r>
        <w:rPr>
          <w:rFonts w:hint="eastAsia" w:ascii="宋体" w:hAnsi="宋体" w:eastAsia="仿宋_GB2312" w:cs="宋体"/>
          <w:spacing w:val="5"/>
          <w:kern w:val="0"/>
          <w:sz w:val="32"/>
          <w:szCs w:val="32"/>
          <w:highlight w:val="none"/>
          <w:lang w:val="en-US" w:eastAsia="zh-CN"/>
        </w:rPr>
        <w:t>报告的结构及格式、纸张、排版及封装的要求。</w:t>
      </w:r>
    </w:p>
    <w:p w14:paraId="2A81EEEC">
      <w:pPr>
        <w:spacing w:line="560" w:lineRule="exact"/>
        <w:ind w:firstLine="640" w:firstLineChars="200"/>
        <w:rPr>
          <w:rFonts w:hint="eastAsia" w:ascii="楷体" w:hAnsi="楷体" w:eastAsia="楷体"/>
          <w:sz w:val="32"/>
          <w:szCs w:val="32"/>
          <w:shd w:val="clear" w:color="auto" w:fill="FFFFFF"/>
        </w:rPr>
      </w:pPr>
      <w:r>
        <w:rPr>
          <w:rFonts w:hint="eastAsia" w:ascii="楷体" w:hAnsi="楷体" w:eastAsia="楷体"/>
          <w:sz w:val="32"/>
          <w:szCs w:val="32"/>
          <w:shd w:val="clear" w:color="auto" w:fill="FFFFFF"/>
        </w:rPr>
        <w:t>（三）标准修订变化及依据（仅修订标准需要列出）</w:t>
      </w:r>
    </w:p>
    <w:p w14:paraId="6E21CDF3">
      <w:pPr>
        <w:spacing w:line="560" w:lineRule="exact"/>
        <w:ind w:firstLine="640" w:firstLineChars="200"/>
        <w:rPr>
          <w:rFonts w:hint="default"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无。</w:t>
      </w:r>
    </w:p>
    <w:p w14:paraId="13159579">
      <w:pPr>
        <w:widowControl/>
        <w:spacing w:line="560" w:lineRule="exact"/>
        <w:ind w:firstLine="640" w:firstLineChars="200"/>
        <w:outlineLvl w:val="0"/>
        <w:rPr>
          <w:rFonts w:hint="eastAsia" w:ascii="黑体" w:hAnsi="黑体" w:eastAsia="黑体"/>
          <w:sz w:val="32"/>
          <w:szCs w:val="32"/>
          <w:lang w:eastAsia="zh-CN"/>
        </w:rPr>
      </w:pPr>
      <w:r>
        <w:rPr>
          <w:rFonts w:hint="eastAsia" w:ascii="黑体" w:hAnsi="黑体" w:eastAsia="黑体"/>
          <w:sz w:val="32"/>
          <w:szCs w:val="32"/>
        </w:rPr>
        <w:t>三、</w:t>
      </w:r>
      <w:r>
        <w:rPr>
          <w:rFonts w:hint="eastAsia" w:ascii="黑体" w:hAnsi="黑体" w:eastAsia="黑体"/>
          <w:sz w:val="32"/>
          <w:szCs w:val="32"/>
          <w:lang w:eastAsia="zh-CN"/>
        </w:rPr>
        <w:t>试验验证的分析、综述报告、技术经济论证，预期的经济效益、社会效益和生态效益。</w:t>
      </w:r>
    </w:p>
    <w:p w14:paraId="5BDC2A6D">
      <w:pPr>
        <w:spacing w:line="560" w:lineRule="exact"/>
        <w:ind w:firstLine="640" w:firstLineChars="200"/>
        <w:rPr>
          <w:rFonts w:ascii="仿宋_GB2312" w:eastAsia="仿宋_GB2312"/>
          <w:sz w:val="32"/>
          <w:szCs w:val="32"/>
        </w:rPr>
      </w:pPr>
      <w:r>
        <w:rPr>
          <w:rFonts w:hint="eastAsia" w:ascii="仿宋_GB2312" w:eastAsia="仿宋_GB2312"/>
          <w:sz w:val="32"/>
          <w:szCs w:val="32"/>
        </w:rPr>
        <w:t>本</w:t>
      </w:r>
      <w:r>
        <w:rPr>
          <w:rFonts w:hint="eastAsia" w:ascii="仿宋_GB2312" w:eastAsia="仿宋_GB2312"/>
          <w:sz w:val="32"/>
          <w:szCs w:val="32"/>
          <w:lang w:val="en-US" w:eastAsia="zh-CN"/>
        </w:rPr>
        <w:t>文件</w:t>
      </w:r>
      <w:r>
        <w:rPr>
          <w:rFonts w:hint="eastAsia" w:ascii="仿宋_GB2312" w:eastAsia="仿宋_GB2312"/>
          <w:sz w:val="32"/>
          <w:szCs w:val="32"/>
        </w:rPr>
        <w:t>是根据</w:t>
      </w:r>
      <w:r>
        <w:rPr>
          <w:rFonts w:hint="eastAsia" w:ascii="仿宋_GB2312" w:eastAsia="仿宋_GB2312"/>
          <w:sz w:val="32"/>
          <w:szCs w:val="32"/>
          <w:lang w:val="en-US" w:eastAsia="zh-CN"/>
        </w:rPr>
        <w:t>海洋石油天然气开采</w:t>
      </w:r>
      <w:r>
        <w:rPr>
          <w:rFonts w:hint="eastAsia" w:ascii="仿宋_GB2312" w:eastAsia="仿宋_GB2312"/>
          <w:sz w:val="32"/>
          <w:szCs w:val="32"/>
        </w:rPr>
        <w:t>行业安全评价技术发展和需要制定的，能为目前</w:t>
      </w:r>
      <w:r>
        <w:rPr>
          <w:rFonts w:hint="eastAsia" w:ascii="仿宋_GB2312" w:eastAsia="仿宋_GB2312"/>
          <w:sz w:val="32"/>
          <w:szCs w:val="32"/>
          <w:lang w:val="en-US" w:eastAsia="zh-CN"/>
        </w:rPr>
        <w:t>海洋石油天然气企业安全现状评价</w:t>
      </w:r>
      <w:r>
        <w:rPr>
          <w:rFonts w:hint="eastAsia" w:ascii="仿宋_GB2312" w:eastAsia="仿宋_GB2312"/>
          <w:sz w:val="32"/>
          <w:szCs w:val="32"/>
        </w:rPr>
        <w:t>提供有效的技术指导。本标准意在规范</w:t>
      </w:r>
      <w:r>
        <w:rPr>
          <w:rFonts w:hint="eastAsia" w:ascii="仿宋_GB2312" w:eastAsia="仿宋_GB2312"/>
          <w:sz w:val="32"/>
          <w:szCs w:val="32"/>
          <w:lang w:val="en-US" w:eastAsia="zh-CN"/>
        </w:rPr>
        <w:t>海洋石油天然气企业安全现状评价内容和报告编制的要求</w:t>
      </w:r>
      <w:r>
        <w:rPr>
          <w:rFonts w:hint="eastAsia" w:ascii="仿宋_GB2312" w:eastAsia="仿宋_GB2312"/>
          <w:sz w:val="32"/>
          <w:szCs w:val="32"/>
        </w:rPr>
        <w:t>，提高</w:t>
      </w:r>
      <w:r>
        <w:rPr>
          <w:rFonts w:hint="eastAsia" w:ascii="仿宋_GB2312" w:eastAsia="仿宋_GB2312"/>
          <w:sz w:val="32"/>
          <w:szCs w:val="32"/>
          <w:lang w:val="en-US" w:eastAsia="zh-CN"/>
        </w:rPr>
        <w:t>海洋石油天然气企业安全现状评价报告</w:t>
      </w:r>
      <w:r>
        <w:rPr>
          <w:rFonts w:hint="eastAsia" w:ascii="仿宋_GB2312" w:eastAsia="仿宋_GB2312"/>
          <w:sz w:val="32"/>
          <w:szCs w:val="32"/>
        </w:rPr>
        <w:t>的质量</w:t>
      </w:r>
      <w:r>
        <w:rPr>
          <w:rFonts w:hint="eastAsia" w:ascii="仿宋_GB2312" w:eastAsia="仿宋_GB2312" w:cs="Times New Roman"/>
          <w:sz w:val="32"/>
          <w:szCs w:val="32"/>
        </w:rPr>
        <w:t>，提升企业</w:t>
      </w:r>
      <w:r>
        <w:rPr>
          <w:rFonts w:hint="eastAsia" w:ascii="仿宋_GB2312" w:eastAsia="仿宋_GB2312" w:cs="Times New Roman"/>
          <w:sz w:val="32"/>
          <w:szCs w:val="32"/>
          <w:lang w:eastAsia="zh-CN"/>
        </w:rPr>
        <w:t>的</w:t>
      </w:r>
      <w:r>
        <w:rPr>
          <w:rFonts w:hint="eastAsia" w:ascii="仿宋_GB2312" w:eastAsia="仿宋_GB2312" w:cs="Times New Roman"/>
          <w:sz w:val="32"/>
          <w:szCs w:val="32"/>
        </w:rPr>
        <w:t>安全</w:t>
      </w:r>
      <w:r>
        <w:rPr>
          <w:rFonts w:hint="eastAsia" w:ascii="仿宋_GB2312" w:eastAsia="仿宋_GB2312" w:cs="Times New Roman"/>
          <w:sz w:val="32"/>
          <w:szCs w:val="32"/>
          <w:lang w:val="en-US" w:eastAsia="zh-CN"/>
        </w:rPr>
        <w:t>生产</w:t>
      </w:r>
      <w:r>
        <w:rPr>
          <w:rFonts w:hint="eastAsia" w:ascii="仿宋_GB2312" w:eastAsia="仿宋_GB2312" w:cs="Times New Roman"/>
          <w:sz w:val="32"/>
          <w:szCs w:val="32"/>
        </w:rPr>
        <w:t>管理水平，对促进</w:t>
      </w:r>
      <w:r>
        <w:rPr>
          <w:rFonts w:hint="eastAsia" w:ascii="仿宋_GB2312" w:eastAsia="仿宋_GB2312" w:cs="Times New Roman"/>
          <w:sz w:val="32"/>
          <w:szCs w:val="32"/>
          <w:lang w:val="en-US" w:eastAsia="zh-CN"/>
        </w:rPr>
        <w:t>海洋石油天然气行业</w:t>
      </w:r>
      <w:r>
        <w:rPr>
          <w:rFonts w:hint="eastAsia" w:ascii="仿宋_GB2312" w:eastAsia="仿宋_GB2312" w:cs="Times New Roman"/>
          <w:sz w:val="32"/>
          <w:szCs w:val="32"/>
        </w:rPr>
        <w:t>生产安全和谐发展具有重要意义</w:t>
      </w:r>
      <w:r>
        <w:rPr>
          <w:rFonts w:hint="eastAsia" w:ascii="仿宋_GB2312" w:eastAsia="仿宋_GB2312"/>
          <w:sz w:val="32"/>
          <w:szCs w:val="32"/>
        </w:rPr>
        <w:t>。</w:t>
      </w:r>
    </w:p>
    <w:p w14:paraId="23D008B4">
      <w:pPr>
        <w:widowControl/>
        <w:spacing w:line="560" w:lineRule="exact"/>
        <w:ind w:firstLine="640" w:firstLineChars="200"/>
        <w:outlineLvl w:val="0"/>
        <w:rPr>
          <w:rFonts w:hint="eastAsia" w:ascii="黑体" w:hAnsi="黑体" w:eastAsia="黑体"/>
          <w:sz w:val="32"/>
          <w:szCs w:val="32"/>
        </w:rPr>
      </w:pPr>
      <w:r>
        <w:rPr>
          <w:rFonts w:hint="eastAsia" w:ascii="黑体" w:hAnsi="黑体" w:eastAsia="黑体"/>
          <w:sz w:val="32"/>
          <w:szCs w:val="32"/>
          <w:lang w:val="en-US" w:eastAsia="zh-CN"/>
        </w:rPr>
        <w:t>四、</w:t>
      </w:r>
      <w:r>
        <w:rPr>
          <w:rFonts w:hint="eastAsia" w:ascii="黑体" w:hAnsi="黑体" w:eastAsia="黑体"/>
          <w:sz w:val="32"/>
          <w:szCs w:val="32"/>
        </w:rPr>
        <w:t>与国际、国外</w:t>
      </w:r>
      <w:r>
        <w:rPr>
          <w:rFonts w:hint="eastAsia" w:ascii="黑体" w:hAnsi="黑体" w:eastAsia="黑体"/>
          <w:sz w:val="32"/>
          <w:szCs w:val="32"/>
          <w:lang w:eastAsia="zh-CN"/>
        </w:rPr>
        <w:t>同类标准技术内容的对比情况</w:t>
      </w:r>
    </w:p>
    <w:p w14:paraId="0CB7F9AD">
      <w:pPr>
        <w:spacing w:line="560" w:lineRule="exact"/>
        <w:ind w:firstLine="640" w:firstLineChars="200"/>
        <w:rPr>
          <w:rFonts w:hint="eastAsia" w:ascii="宋体" w:hAnsi="宋体" w:eastAsia="仿宋_GB2312"/>
          <w:color w:val="000000" w:themeColor="text1"/>
          <w:sz w:val="32"/>
          <w:szCs w:val="32"/>
          <w:shd w:val="clear" w:color="auto" w:fill="FFFFFF"/>
          <w14:textFill>
            <w14:solidFill>
              <w14:schemeClr w14:val="tx1"/>
            </w14:solidFill>
          </w14:textFill>
        </w:rPr>
      </w:pPr>
      <w:r>
        <w:rPr>
          <w:rFonts w:hint="eastAsia" w:ascii="宋体" w:hAnsi="宋体" w:eastAsia="仿宋_GB2312"/>
          <w:color w:val="000000" w:themeColor="text1"/>
          <w:sz w:val="32"/>
          <w:szCs w:val="32"/>
          <w:shd w:val="clear" w:color="auto" w:fill="FFFFFF"/>
          <w14:textFill>
            <w14:solidFill>
              <w14:schemeClr w14:val="tx1"/>
            </w14:solidFill>
          </w14:textFill>
        </w:rPr>
        <w:t>国际国外尚无适用的同类标准。</w:t>
      </w:r>
    </w:p>
    <w:p w14:paraId="5B61B70E">
      <w:pPr>
        <w:widowControl/>
        <w:spacing w:line="560" w:lineRule="exact"/>
        <w:ind w:firstLine="640" w:firstLineChars="200"/>
        <w:outlineLvl w:val="0"/>
        <w:rPr>
          <w:rFonts w:hint="eastAsia" w:ascii="黑体" w:hAnsi="黑体" w:eastAsia="黑体"/>
          <w:sz w:val="32"/>
          <w:szCs w:val="32"/>
          <w:lang w:eastAsia="zh-CN"/>
        </w:rPr>
      </w:pPr>
      <w:r>
        <w:rPr>
          <w:rFonts w:hint="eastAsia" w:ascii="黑体" w:hAnsi="黑体" w:eastAsia="黑体"/>
          <w:sz w:val="32"/>
          <w:szCs w:val="32"/>
          <w:lang w:val="en-US" w:eastAsia="zh-CN"/>
        </w:rPr>
        <w:t>五、</w:t>
      </w:r>
      <w:r>
        <w:rPr>
          <w:rFonts w:hint="eastAsia" w:ascii="黑体" w:hAnsi="黑体" w:eastAsia="黑体"/>
          <w:sz w:val="32"/>
          <w:szCs w:val="32"/>
          <w:lang w:eastAsia="zh-CN"/>
        </w:rPr>
        <w:t>以国际标准为基础的起草情况、是否合规引用或采用国际国外标准以及未采用国际标准的原因</w:t>
      </w:r>
    </w:p>
    <w:p w14:paraId="48B7C06B">
      <w:pPr>
        <w:spacing w:line="560" w:lineRule="exact"/>
        <w:ind w:firstLine="640" w:firstLineChars="20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无</w:t>
      </w:r>
    </w:p>
    <w:p w14:paraId="208450CA">
      <w:pPr>
        <w:widowControl/>
        <w:spacing w:line="560" w:lineRule="exact"/>
        <w:ind w:firstLine="640" w:firstLineChars="200"/>
        <w:outlineLvl w:val="0"/>
        <w:rPr>
          <w:rFonts w:hint="eastAsia" w:ascii="黑体" w:hAnsi="黑体" w:eastAsia="黑体"/>
          <w:sz w:val="32"/>
          <w:szCs w:val="32"/>
        </w:rPr>
      </w:pPr>
      <w:r>
        <w:rPr>
          <w:rFonts w:hint="eastAsia" w:ascii="黑体" w:hAnsi="黑体" w:eastAsia="黑体"/>
          <w:sz w:val="32"/>
          <w:szCs w:val="32"/>
          <w:lang w:val="en-US" w:eastAsia="zh-CN"/>
        </w:rPr>
        <w:t>六、</w:t>
      </w:r>
      <w:r>
        <w:rPr>
          <w:rFonts w:hint="eastAsia" w:ascii="黑体" w:hAnsi="黑体" w:eastAsia="黑体"/>
          <w:sz w:val="32"/>
          <w:szCs w:val="32"/>
          <w:lang w:eastAsia="zh-CN"/>
        </w:rPr>
        <w:t>与</w:t>
      </w:r>
      <w:r>
        <w:rPr>
          <w:rFonts w:hint="eastAsia" w:ascii="黑体" w:hAnsi="黑体" w:eastAsia="黑体"/>
          <w:sz w:val="32"/>
          <w:szCs w:val="32"/>
        </w:rPr>
        <w:t>有关法律</w:t>
      </w:r>
      <w:r>
        <w:rPr>
          <w:rFonts w:hint="eastAsia" w:ascii="黑体" w:hAnsi="黑体" w:eastAsia="黑体"/>
          <w:sz w:val="32"/>
          <w:szCs w:val="32"/>
          <w:lang w:eastAsia="zh-CN"/>
        </w:rPr>
        <w:t>、行政</w:t>
      </w:r>
      <w:r>
        <w:rPr>
          <w:rFonts w:hint="eastAsia" w:ascii="黑体" w:hAnsi="黑体" w:eastAsia="黑体"/>
          <w:sz w:val="32"/>
          <w:szCs w:val="32"/>
        </w:rPr>
        <w:t>法规</w:t>
      </w:r>
      <w:r>
        <w:rPr>
          <w:rFonts w:hint="eastAsia" w:ascii="黑体" w:hAnsi="黑体" w:eastAsia="黑体"/>
          <w:sz w:val="32"/>
          <w:szCs w:val="32"/>
          <w:lang w:eastAsia="zh-CN"/>
        </w:rPr>
        <w:t>及相关</w:t>
      </w:r>
      <w:r>
        <w:rPr>
          <w:rFonts w:hint="eastAsia" w:ascii="黑体" w:hAnsi="黑体" w:eastAsia="黑体"/>
          <w:sz w:val="32"/>
          <w:szCs w:val="32"/>
        </w:rPr>
        <w:t>标准水平的</w:t>
      </w:r>
      <w:r>
        <w:rPr>
          <w:rFonts w:hint="eastAsia" w:ascii="黑体" w:hAnsi="黑体" w:eastAsia="黑体"/>
          <w:sz w:val="32"/>
          <w:szCs w:val="32"/>
          <w:lang w:eastAsia="zh-CN"/>
        </w:rPr>
        <w:t>关系</w:t>
      </w:r>
    </w:p>
    <w:p w14:paraId="2C07892D">
      <w:pPr>
        <w:spacing w:line="560" w:lineRule="exact"/>
        <w:ind w:firstLine="640" w:firstLineChars="200"/>
        <w:rPr>
          <w:rFonts w:hint="eastAsia" w:ascii="楷体" w:hAnsi="楷体" w:eastAsia="楷体"/>
          <w:sz w:val="32"/>
          <w:szCs w:val="32"/>
          <w:shd w:val="clear" w:color="auto" w:fill="FFFFFF"/>
          <w:lang w:eastAsia="zh-CN"/>
        </w:rPr>
      </w:pPr>
      <w:r>
        <w:rPr>
          <w:rFonts w:hint="eastAsia" w:ascii="楷体" w:hAnsi="楷体" w:eastAsia="楷体"/>
          <w:sz w:val="32"/>
          <w:szCs w:val="32"/>
          <w:shd w:val="clear" w:color="auto" w:fill="FFFFFF"/>
          <w:lang w:eastAsia="zh-CN"/>
        </w:rPr>
        <w:t>（</w:t>
      </w:r>
      <w:r>
        <w:rPr>
          <w:rFonts w:hint="eastAsia" w:ascii="楷体" w:hAnsi="楷体" w:eastAsia="楷体"/>
          <w:sz w:val="32"/>
          <w:szCs w:val="32"/>
          <w:shd w:val="clear" w:color="auto" w:fill="FFFFFF"/>
          <w:lang w:val="en-US" w:eastAsia="zh-CN"/>
        </w:rPr>
        <w:t>一</w:t>
      </w:r>
      <w:r>
        <w:rPr>
          <w:rFonts w:hint="eastAsia" w:ascii="楷体" w:hAnsi="楷体" w:eastAsia="楷体"/>
          <w:sz w:val="32"/>
          <w:szCs w:val="32"/>
          <w:shd w:val="clear" w:color="auto" w:fill="FFFFFF"/>
          <w:lang w:eastAsia="zh-CN"/>
        </w:rPr>
        <w:t>）与有关法律、行政法规、标准关系</w:t>
      </w:r>
    </w:p>
    <w:p w14:paraId="29CFA07C">
      <w:pPr>
        <w:spacing w:line="560" w:lineRule="exact"/>
        <w:ind w:firstLine="640" w:firstLineChars="200"/>
        <w:rPr>
          <w:rFonts w:hint="eastAsia" w:ascii="宋体" w:hAnsi="宋体" w:eastAsia="仿宋_GB2312"/>
          <w:color w:val="000000" w:themeColor="text1"/>
          <w:sz w:val="32"/>
          <w:szCs w:val="32"/>
          <w:shd w:val="clear" w:color="auto" w:fill="FFFFFF"/>
          <w14:textFill>
            <w14:solidFill>
              <w14:schemeClr w14:val="tx1"/>
            </w14:solidFill>
          </w14:textFill>
        </w:rPr>
      </w:pPr>
      <w:r>
        <w:rPr>
          <w:rFonts w:hint="eastAsia" w:ascii="宋体" w:hAnsi="宋体" w:eastAsia="仿宋_GB2312"/>
          <w:color w:val="000000" w:themeColor="text1"/>
          <w:sz w:val="32"/>
          <w:szCs w:val="32"/>
          <w:shd w:val="clear" w:color="auto" w:fill="FFFFFF"/>
          <w14:textFill>
            <w14:solidFill>
              <w14:schemeClr w14:val="tx1"/>
            </w14:solidFill>
          </w14:textFill>
        </w:rPr>
        <w:t>本文件遵循《</w:t>
      </w:r>
      <w:r>
        <w:rPr>
          <w:rFonts w:hint="eastAsia" w:ascii="宋体" w:hAnsi="宋体" w:eastAsia="仿宋_GB2312"/>
          <w:color w:val="000000" w:themeColor="text1"/>
          <w:sz w:val="32"/>
          <w:szCs w:val="32"/>
          <w:shd w:val="clear" w:color="auto" w:fill="FFFFFF"/>
          <w:lang w:val="en-US" w:eastAsia="zh-CN"/>
          <w14:textFill>
            <w14:solidFill>
              <w14:schemeClr w14:val="tx1"/>
            </w14:solidFill>
          </w14:textFill>
        </w:rPr>
        <w:t>中华人民共和国安全生产法</w:t>
      </w:r>
      <w:r>
        <w:rPr>
          <w:rFonts w:hint="eastAsia" w:ascii="宋体" w:hAnsi="宋体" w:eastAsia="仿宋_GB2312"/>
          <w:color w:val="000000" w:themeColor="text1"/>
          <w:sz w:val="32"/>
          <w:szCs w:val="32"/>
          <w:shd w:val="clear" w:color="auto" w:fill="FFFFFF"/>
          <w14:textFill>
            <w14:solidFill>
              <w14:schemeClr w14:val="tx1"/>
            </w14:solidFill>
          </w14:textFill>
        </w:rPr>
        <w:t>》《</w:t>
      </w:r>
      <w:r>
        <w:rPr>
          <w:rFonts w:hint="eastAsia" w:ascii="宋体" w:hAnsi="宋体" w:eastAsia="仿宋_GB2312" w:cs="宋体"/>
          <w:spacing w:val="5"/>
          <w:kern w:val="0"/>
          <w:sz w:val="32"/>
          <w:szCs w:val="32"/>
          <w:highlight w:val="none"/>
          <w:lang w:val="en-US" w:eastAsia="zh-CN"/>
        </w:rPr>
        <w:t>非煤矿矿山企业安全生产许可证实施办法</w:t>
      </w:r>
      <w:r>
        <w:rPr>
          <w:rFonts w:hint="eastAsia" w:ascii="宋体" w:hAnsi="宋体" w:eastAsia="仿宋_GB2312"/>
          <w:color w:val="000000" w:themeColor="text1"/>
          <w:sz w:val="32"/>
          <w:szCs w:val="32"/>
          <w:shd w:val="clear" w:color="auto" w:fill="FFFFFF"/>
          <w14:textFill>
            <w14:solidFill>
              <w14:schemeClr w14:val="tx1"/>
            </w14:solidFill>
          </w14:textFill>
        </w:rPr>
        <w:t>》等相关要求而制定，文件内容是对法律、法规进一步落实和细化，是指导</w:t>
      </w:r>
      <w:r>
        <w:rPr>
          <w:rFonts w:hint="eastAsia" w:ascii="仿宋_GB2312" w:eastAsia="仿宋_GB2312"/>
          <w:sz w:val="32"/>
          <w:szCs w:val="32"/>
          <w:shd w:val="clear" w:color="auto" w:fill="FFFFFF"/>
          <w:lang w:val="en-US" w:eastAsia="zh-CN"/>
        </w:rPr>
        <w:t>海洋石油天然气企业安全现状评价</w:t>
      </w:r>
      <w:r>
        <w:rPr>
          <w:rFonts w:hint="eastAsia" w:ascii="宋体" w:hAnsi="宋体" w:eastAsia="仿宋_GB2312"/>
          <w:color w:val="000000" w:themeColor="text1"/>
          <w:sz w:val="32"/>
          <w:szCs w:val="32"/>
          <w:shd w:val="clear" w:color="auto" w:fill="FFFFFF"/>
          <w14:textFill>
            <w14:solidFill>
              <w14:schemeClr w14:val="tx1"/>
            </w14:solidFill>
          </w14:textFill>
        </w:rPr>
        <w:t>工作的重要支撑。</w:t>
      </w:r>
    </w:p>
    <w:p w14:paraId="6180EBC9">
      <w:pPr>
        <w:spacing w:line="560" w:lineRule="exact"/>
        <w:ind w:firstLine="640" w:firstLineChars="200"/>
        <w:rPr>
          <w:rFonts w:hint="eastAsia" w:ascii="楷体" w:hAnsi="楷体" w:eastAsia="楷体"/>
          <w:sz w:val="32"/>
          <w:szCs w:val="32"/>
          <w:shd w:val="clear" w:color="auto" w:fill="FFFFFF"/>
          <w:lang w:eastAsia="zh-CN"/>
        </w:rPr>
      </w:pPr>
      <w:r>
        <w:rPr>
          <w:rFonts w:hint="eastAsia" w:ascii="楷体" w:hAnsi="楷体" w:eastAsia="楷体"/>
          <w:sz w:val="32"/>
          <w:szCs w:val="32"/>
          <w:shd w:val="clear" w:color="auto" w:fill="FFFFFF"/>
          <w:lang w:eastAsia="zh-CN"/>
        </w:rPr>
        <w:t>（</w:t>
      </w:r>
      <w:r>
        <w:rPr>
          <w:rFonts w:hint="eastAsia" w:ascii="楷体" w:hAnsi="楷体" w:eastAsia="楷体"/>
          <w:sz w:val="32"/>
          <w:szCs w:val="32"/>
          <w:shd w:val="clear" w:color="auto" w:fill="FFFFFF"/>
          <w:lang w:val="en-US" w:eastAsia="zh-CN"/>
        </w:rPr>
        <w:t>二</w:t>
      </w:r>
      <w:r>
        <w:rPr>
          <w:rFonts w:hint="eastAsia" w:ascii="楷体" w:hAnsi="楷体" w:eastAsia="楷体"/>
          <w:sz w:val="32"/>
          <w:szCs w:val="32"/>
          <w:shd w:val="clear" w:color="auto" w:fill="FFFFFF"/>
          <w:lang w:eastAsia="zh-CN"/>
        </w:rPr>
        <w:t>）配套推荐性标准的制定情况（强制性标准应填写）</w:t>
      </w:r>
    </w:p>
    <w:p w14:paraId="177B2848">
      <w:pPr>
        <w:spacing w:line="560" w:lineRule="exact"/>
        <w:ind w:firstLine="620" w:firstLineChars="200"/>
        <w:rPr>
          <w:rFonts w:hint="eastAsia" w:ascii="宋体" w:hAnsi="宋体" w:eastAsia="仿宋_GB2312" w:cs="仿宋_GB2312"/>
          <w:spacing w:val="-5"/>
          <w:kern w:val="0"/>
          <w:sz w:val="32"/>
          <w:szCs w:val="32"/>
          <w:lang w:val="en-US" w:eastAsia="zh-CN" w:bidi="ar-SA"/>
        </w:rPr>
      </w:pPr>
      <w:r>
        <w:rPr>
          <w:rFonts w:hint="eastAsia" w:ascii="宋体" w:hAnsi="宋体" w:eastAsia="仿宋_GB2312" w:cs="仿宋_GB2312"/>
          <w:spacing w:val="-5"/>
          <w:kern w:val="0"/>
          <w:sz w:val="32"/>
          <w:szCs w:val="32"/>
          <w:lang w:val="en-US" w:eastAsia="zh-CN" w:bidi="ar-SA"/>
        </w:rPr>
        <w:t>无。</w:t>
      </w:r>
    </w:p>
    <w:p w14:paraId="25333B8D">
      <w:pPr>
        <w:widowControl/>
        <w:spacing w:line="560" w:lineRule="exact"/>
        <w:ind w:firstLine="640" w:firstLineChars="200"/>
        <w:outlineLvl w:val="0"/>
        <w:rPr>
          <w:rFonts w:hint="eastAsia" w:ascii="黑体" w:hAnsi="黑体" w:eastAsia="黑体"/>
          <w:sz w:val="32"/>
          <w:szCs w:val="32"/>
        </w:rPr>
      </w:pPr>
      <w:r>
        <w:rPr>
          <w:rFonts w:hint="eastAsia" w:ascii="黑体" w:hAnsi="黑体" w:eastAsia="黑体"/>
          <w:sz w:val="32"/>
          <w:szCs w:val="32"/>
          <w:lang w:val="en-US" w:eastAsia="zh-CN"/>
        </w:rPr>
        <w:t>七、</w:t>
      </w:r>
      <w:r>
        <w:rPr>
          <w:rFonts w:hint="eastAsia" w:ascii="黑体" w:hAnsi="黑体" w:eastAsia="黑体"/>
          <w:sz w:val="32"/>
          <w:szCs w:val="32"/>
        </w:rPr>
        <w:t>重大</w:t>
      </w:r>
      <w:r>
        <w:rPr>
          <w:rFonts w:hint="eastAsia" w:ascii="黑体" w:hAnsi="黑体" w:eastAsia="黑体"/>
          <w:sz w:val="32"/>
          <w:szCs w:val="32"/>
          <w:lang w:eastAsia="zh-CN"/>
        </w:rPr>
        <w:t>分歧</w:t>
      </w:r>
      <w:r>
        <w:rPr>
          <w:rFonts w:hint="eastAsia" w:ascii="黑体" w:hAnsi="黑体" w:eastAsia="黑体"/>
          <w:sz w:val="32"/>
          <w:szCs w:val="32"/>
        </w:rPr>
        <w:t>意见的处理</w:t>
      </w:r>
      <w:r>
        <w:rPr>
          <w:rFonts w:hint="eastAsia" w:ascii="黑体" w:hAnsi="黑体" w:eastAsia="黑体"/>
          <w:sz w:val="32"/>
          <w:szCs w:val="32"/>
          <w:lang w:eastAsia="zh-CN"/>
        </w:rPr>
        <w:t>过程</w:t>
      </w:r>
      <w:r>
        <w:rPr>
          <w:rFonts w:hint="eastAsia" w:ascii="黑体" w:hAnsi="黑体" w:eastAsia="黑体"/>
          <w:sz w:val="32"/>
          <w:szCs w:val="32"/>
        </w:rPr>
        <w:t>及依据</w:t>
      </w:r>
    </w:p>
    <w:p w14:paraId="6FEF7BF9">
      <w:pPr>
        <w:spacing w:line="560" w:lineRule="exact"/>
        <w:ind w:firstLine="620" w:firstLineChars="200"/>
      </w:pPr>
      <w:r>
        <w:rPr>
          <w:rFonts w:hint="eastAsia" w:ascii="宋体" w:hAnsi="宋体" w:eastAsia="仿宋_GB2312" w:cs="仿宋_GB2312"/>
          <w:spacing w:val="-5"/>
          <w:kern w:val="0"/>
          <w:sz w:val="32"/>
          <w:szCs w:val="32"/>
          <w:lang w:val="en-US" w:eastAsia="zh-CN" w:bidi="ar-SA"/>
        </w:rPr>
        <w:t>无。</w:t>
      </w:r>
    </w:p>
    <w:p w14:paraId="1A8C2418">
      <w:pPr>
        <w:widowControl/>
        <w:spacing w:line="560" w:lineRule="exact"/>
        <w:ind w:firstLine="640" w:firstLineChars="200"/>
        <w:outlineLvl w:val="0"/>
        <w:rPr>
          <w:rFonts w:hint="eastAsia" w:ascii="黑体" w:hAnsi="黑体" w:eastAsia="黑体"/>
          <w:sz w:val="32"/>
          <w:szCs w:val="32"/>
        </w:rPr>
      </w:pPr>
      <w:r>
        <w:rPr>
          <w:rFonts w:hint="eastAsia" w:ascii="黑体" w:hAnsi="黑体" w:eastAsia="黑体"/>
          <w:sz w:val="32"/>
          <w:szCs w:val="32"/>
          <w:lang w:val="en-US" w:eastAsia="zh-CN"/>
        </w:rPr>
        <w:t>八、</w:t>
      </w:r>
      <w:r>
        <w:rPr>
          <w:rFonts w:hint="eastAsia" w:ascii="黑体" w:hAnsi="黑体" w:eastAsia="黑体"/>
          <w:sz w:val="32"/>
          <w:szCs w:val="32"/>
        </w:rPr>
        <w:t>作为强制性标准或推荐性标准的建议及理由</w:t>
      </w:r>
    </w:p>
    <w:p w14:paraId="2C0F97A1">
      <w:pPr>
        <w:spacing w:line="560" w:lineRule="exact"/>
        <w:ind w:firstLine="640" w:firstLineChars="200"/>
        <w:rPr>
          <w:rFonts w:hint="eastAsia" w:ascii="宋体" w:hAnsi="宋体" w:eastAsia="仿宋_GB2312" w:cs="Times New Roman"/>
          <w:i w:val="0"/>
          <w:iCs w:val="0"/>
          <w:color w:val="auto"/>
          <w:sz w:val="32"/>
          <w:szCs w:val="32"/>
          <w:shd w:val="clear" w:color="auto" w:fill="FFFFFF"/>
          <w:lang w:val="en-US" w:eastAsia="zh-CN"/>
        </w:rPr>
      </w:pPr>
      <w:r>
        <w:rPr>
          <w:rFonts w:hint="eastAsia" w:ascii="宋体" w:hAnsi="宋体" w:eastAsia="仿宋_GB2312" w:cs="Times New Roman"/>
          <w:i w:val="0"/>
          <w:iCs w:val="0"/>
          <w:color w:val="auto"/>
          <w:sz w:val="32"/>
          <w:szCs w:val="32"/>
          <w:shd w:val="clear" w:color="auto" w:fill="FFFFFF"/>
          <w:lang w:val="en-US" w:eastAsia="zh-CN"/>
        </w:rPr>
        <w:t>本文件为强制性标准。</w:t>
      </w:r>
    </w:p>
    <w:p w14:paraId="71AD064C">
      <w:pPr>
        <w:spacing w:line="560" w:lineRule="exact"/>
        <w:ind w:firstLine="640" w:firstLineChars="200"/>
        <w:rPr>
          <w:rFonts w:hint="eastAsia" w:ascii="宋体" w:hAnsi="宋体" w:eastAsia="仿宋_GB2312"/>
          <w:color w:val="000000" w:themeColor="text1"/>
          <w:sz w:val="32"/>
          <w:szCs w:val="32"/>
          <w:shd w:val="clear" w:color="auto" w:fill="FFFFFF"/>
          <w14:textFill>
            <w14:solidFill>
              <w14:schemeClr w14:val="tx1"/>
            </w14:solidFill>
          </w14:textFill>
        </w:rPr>
      </w:pPr>
      <w:r>
        <w:rPr>
          <w:rFonts w:hint="eastAsia" w:ascii="宋体" w:hAnsi="宋体" w:eastAsia="仿宋_GB2312"/>
          <w:color w:val="000000" w:themeColor="text1"/>
          <w:sz w:val="32"/>
          <w:szCs w:val="32"/>
          <w:shd w:val="clear" w:color="auto" w:fill="FFFFFF"/>
          <w:lang w:val="en-US" w:eastAsia="zh-CN"/>
          <w14:textFill>
            <w14:solidFill>
              <w14:schemeClr w14:val="tx1"/>
            </w14:solidFill>
          </w14:textFill>
        </w:rPr>
        <w:t>《</w:t>
      </w:r>
      <w:r>
        <w:rPr>
          <w:rFonts w:hint="eastAsia" w:ascii="宋体" w:hAnsi="宋体" w:eastAsia="仿宋_GB2312" w:cs="宋体"/>
          <w:spacing w:val="5"/>
          <w:kern w:val="0"/>
          <w:sz w:val="32"/>
          <w:szCs w:val="32"/>
          <w:highlight w:val="none"/>
          <w:lang w:val="en-US" w:eastAsia="zh-CN"/>
        </w:rPr>
        <w:t>非煤矿矿山企业安全生产许可证实施办法</w:t>
      </w:r>
      <w:r>
        <w:rPr>
          <w:rFonts w:hint="eastAsia" w:ascii="宋体" w:hAnsi="宋体" w:eastAsia="仿宋_GB2312"/>
          <w:color w:val="000000" w:themeColor="text1"/>
          <w:sz w:val="32"/>
          <w:szCs w:val="32"/>
          <w:shd w:val="clear" w:color="auto" w:fill="FFFFFF"/>
          <w:lang w:val="en-US" w:eastAsia="zh-CN"/>
          <w14:textFill>
            <w14:solidFill>
              <w14:schemeClr w14:val="tx1"/>
            </w14:solidFill>
          </w14:textFill>
        </w:rPr>
        <w:t>》第十九条也对海洋石油天然气企业开展安全现状评价提出了具体要求。该标准作为强制性标准，将为法律、法规、规章实施提供更有力的技术支撑和必要补充。</w:t>
      </w:r>
      <w:r>
        <w:rPr>
          <w:rFonts w:hint="eastAsia" w:eastAsia="仿宋_GB2312"/>
          <w:sz w:val="32"/>
          <w:szCs w:val="32"/>
          <w:shd w:val="clear" w:color="auto" w:fill="FFFFFF"/>
        </w:rPr>
        <w:t>同时，</w:t>
      </w:r>
      <w:r>
        <w:rPr>
          <w:rFonts w:hint="eastAsia" w:ascii="宋体" w:hAnsi="宋体" w:eastAsia="仿宋_GB2312" w:cs="Times New Roman"/>
          <w:i w:val="0"/>
          <w:iCs w:val="0"/>
          <w:color w:val="auto"/>
          <w:sz w:val="32"/>
          <w:szCs w:val="32"/>
          <w:shd w:val="clear" w:color="auto" w:fill="FFFFFF"/>
          <w:lang w:val="en-US" w:eastAsia="zh-CN"/>
        </w:rPr>
        <w:t>依据《标准化法》（2017年修订）第十条“对保障人身健康和生命财产安全，满足社会经济管理基本需要的技术要求，应当制定强制性的国家标准”和《应急管理标准化工作管理办法》第二十条“对于依法需要强制实施的应急管理标准，应当制定强制性标准”的规定，本文件是海洋石油天然气企业安全现状评价内容和报告编制的一般要求，应作为强制性标准实施，使其成为政府规章制度的技术支撑，从而便于海洋石油天然气企业的监督管理。</w:t>
      </w:r>
    </w:p>
    <w:p w14:paraId="0C9FB15D">
      <w:pPr>
        <w:widowControl/>
        <w:spacing w:line="560" w:lineRule="exact"/>
        <w:ind w:firstLine="640" w:firstLineChars="200"/>
        <w:outlineLvl w:val="0"/>
        <w:rPr>
          <w:rFonts w:hint="eastAsia" w:ascii="黑体" w:hAnsi="黑体" w:eastAsia="黑体"/>
          <w:sz w:val="32"/>
          <w:szCs w:val="32"/>
          <w:lang w:eastAsia="zh-CN"/>
        </w:rPr>
      </w:pPr>
      <w:r>
        <w:rPr>
          <w:rFonts w:hint="eastAsia" w:ascii="黑体" w:hAnsi="黑体" w:eastAsia="黑体"/>
          <w:sz w:val="32"/>
          <w:szCs w:val="32"/>
          <w:lang w:val="en-US" w:eastAsia="zh-CN"/>
        </w:rPr>
        <w:t>九、</w:t>
      </w:r>
      <w:r>
        <w:rPr>
          <w:rFonts w:hint="eastAsia" w:ascii="黑体" w:hAnsi="黑体" w:eastAsia="黑体"/>
          <w:sz w:val="32"/>
          <w:szCs w:val="32"/>
        </w:rPr>
        <w:t>标准</w:t>
      </w:r>
      <w:r>
        <w:rPr>
          <w:rFonts w:hint="eastAsia" w:ascii="黑体" w:hAnsi="黑体" w:eastAsia="黑体"/>
          <w:sz w:val="32"/>
          <w:szCs w:val="32"/>
          <w:lang w:eastAsia="zh-CN"/>
        </w:rPr>
        <w:t>自发布日期至实施日期的过渡期建议及理由</w:t>
      </w:r>
    </w:p>
    <w:p w14:paraId="432D9CC9">
      <w:pPr>
        <w:spacing w:line="560" w:lineRule="exact"/>
        <w:ind w:firstLine="640" w:firstLineChars="200"/>
        <w:rPr>
          <w:rFonts w:hint="eastAsia" w:ascii="宋体" w:hAnsi="宋体" w:eastAsia="仿宋_GB2312"/>
          <w:color w:val="000000" w:themeColor="text1"/>
          <w:sz w:val="32"/>
          <w:szCs w:val="32"/>
          <w:shd w:val="clear" w:color="auto" w:fill="FFFFFF"/>
          <w14:textFill>
            <w14:solidFill>
              <w14:schemeClr w14:val="tx1"/>
            </w14:solidFill>
          </w14:textFill>
        </w:rPr>
      </w:pPr>
      <w:r>
        <w:rPr>
          <w:rFonts w:hint="eastAsia" w:ascii="宋体" w:hAnsi="宋体" w:eastAsia="仿宋_GB2312"/>
          <w:color w:val="000000" w:themeColor="text1"/>
          <w:sz w:val="32"/>
          <w:szCs w:val="32"/>
          <w:shd w:val="clear" w:color="auto" w:fill="FFFFFF"/>
          <w14:textFill>
            <w14:solidFill>
              <w14:schemeClr w14:val="tx1"/>
            </w14:solidFill>
          </w14:textFill>
        </w:rPr>
        <w:t>建议实施过渡期为</w:t>
      </w:r>
      <w:r>
        <w:rPr>
          <w:rFonts w:ascii="宋体" w:hAnsi="宋体" w:eastAsia="仿宋_GB2312"/>
          <w:color w:val="000000" w:themeColor="text1"/>
          <w:sz w:val="32"/>
          <w:szCs w:val="32"/>
          <w:shd w:val="clear" w:color="auto" w:fill="FFFFFF"/>
          <w14:textFill>
            <w14:solidFill>
              <w14:schemeClr w14:val="tx1"/>
            </w14:solidFill>
          </w14:textFill>
        </w:rPr>
        <w:t>6</w:t>
      </w:r>
      <w:r>
        <w:rPr>
          <w:rFonts w:hint="eastAsia" w:ascii="宋体" w:hAnsi="宋体" w:eastAsia="仿宋_GB2312"/>
          <w:color w:val="000000" w:themeColor="text1"/>
          <w:sz w:val="32"/>
          <w:szCs w:val="32"/>
          <w:shd w:val="clear" w:color="auto" w:fill="FFFFFF"/>
          <w14:textFill>
            <w14:solidFill>
              <w14:schemeClr w14:val="tx1"/>
            </w14:solidFill>
          </w14:textFill>
        </w:rPr>
        <w:t>个月。</w:t>
      </w:r>
    </w:p>
    <w:p w14:paraId="0E818CD6">
      <w:pPr>
        <w:spacing w:line="560" w:lineRule="exact"/>
        <w:ind w:firstLine="640" w:firstLineChars="200"/>
        <w:rPr>
          <w:rFonts w:hint="eastAsia" w:ascii="宋体" w:hAnsi="宋体" w:eastAsia="仿宋_GB2312"/>
          <w:color w:val="000000" w:themeColor="text1"/>
          <w:sz w:val="32"/>
          <w:szCs w:val="32"/>
          <w:shd w:val="clear" w:color="auto" w:fill="FFFFFF"/>
          <w14:textFill>
            <w14:solidFill>
              <w14:schemeClr w14:val="tx1"/>
            </w14:solidFill>
          </w14:textFill>
        </w:rPr>
      </w:pPr>
      <w:r>
        <w:rPr>
          <w:rFonts w:hint="eastAsia" w:ascii="宋体" w:hAnsi="宋体" w:eastAsia="仿宋_GB2312"/>
          <w:color w:val="000000" w:themeColor="text1"/>
          <w:sz w:val="32"/>
          <w:szCs w:val="32"/>
          <w:shd w:val="clear" w:color="auto" w:fill="FFFFFF"/>
          <w14:textFill>
            <w14:solidFill>
              <w14:schemeClr w14:val="tx1"/>
            </w14:solidFill>
          </w14:textFill>
        </w:rPr>
        <w:t>本文件发布后，通过设置过渡期，在实施之前得到广泛的宣传和推广，使</w:t>
      </w:r>
      <w:r>
        <w:rPr>
          <w:rFonts w:hint="eastAsia" w:ascii="宋体" w:hAnsi="宋体" w:eastAsia="仿宋_GB2312"/>
          <w:color w:val="000000" w:themeColor="text1"/>
          <w:sz w:val="32"/>
          <w:szCs w:val="32"/>
          <w:shd w:val="clear" w:color="auto" w:fill="FFFFFF"/>
          <w:lang w:val="en-US" w:eastAsia="zh-CN"/>
          <w14:textFill>
            <w14:solidFill>
              <w14:schemeClr w14:val="tx1"/>
            </w14:solidFill>
          </w14:textFill>
        </w:rPr>
        <w:t>评价机构、海洋石油天然气企业</w:t>
      </w:r>
      <w:r>
        <w:rPr>
          <w:rFonts w:hint="eastAsia" w:ascii="宋体" w:hAnsi="宋体" w:eastAsia="仿宋_GB2312"/>
          <w:color w:val="000000" w:themeColor="text1"/>
          <w:sz w:val="32"/>
          <w:szCs w:val="32"/>
          <w:shd w:val="clear" w:color="auto" w:fill="FFFFFF"/>
          <w14:textFill>
            <w14:solidFill>
              <w14:schemeClr w14:val="tx1"/>
            </w14:solidFill>
          </w14:textFill>
        </w:rPr>
        <w:t>有足够的时间来适应和遵守新标准的要求。</w:t>
      </w:r>
      <w:r>
        <w:rPr>
          <w:rFonts w:ascii="Times New Roman" w:hAnsi="Times New Roman" w:eastAsia="仿宋_GB2312"/>
          <w:color w:val="000000" w:themeColor="text1"/>
          <w:sz w:val="32"/>
          <w:szCs w:val="32"/>
          <w:shd w:val="clear" w:color="auto" w:fill="FFFFFF"/>
          <w14:textFill>
            <w14:solidFill>
              <w14:schemeClr w14:val="tx1"/>
            </w14:solidFill>
          </w14:textFill>
        </w:rPr>
        <w:t>‌</w:t>
      </w:r>
    </w:p>
    <w:p w14:paraId="4680858C">
      <w:pPr>
        <w:widowControl/>
        <w:spacing w:line="560" w:lineRule="exact"/>
        <w:ind w:firstLine="640" w:firstLineChars="200"/>
        <w:outlineLvl w:val="0"/>
        <w:rPr>
          <w:rFonts w:hint="eastAsia" w:ascii="黑体" w:hAnsi="黑体" w:eastAsia="黑体"/>
          <w:sz w:val="32"/>
          <w:szCs w:val="32"/>
        </w:rPr>
      </w:pPr>
      <w:r>
        <w:rPr>
          <w:rFonts w:hint="eastAsia" w:ascii="黑体" w:hAnsi="黑体" w:eastAsia="黑体"/>
          <w:sz w:val="32"/>
          <w:szCs w:val="32"/>
          <w:lang w:val="en-US" w:eastAsia="zh-CN"/>
        </w:rPr>
        <w:t>十、</w:t>
      </w:r>
      <w:r>
        <w:rPr>
          <w:rFonts w:hint="eastAsia" w:ascii="黑体" w:hAnsi="黑体" w:eastAsia="黑体"/>
          <w:sz w:val="32"/>
          <w:szCs w:val="32"/>
        </w:rPr>
        <w:t>与实施标准有关的政策措施</w:t>
      </w:r>
    </w:p>
    <w:p w14:paraId="5EDA6C04">
      <w:pPr>
        <w:spacing w:line="560" w:lineRule="exact"/>
        <w:ind w:firstLine="640" w:firstLineChars="200"/>
        <w:rPr>
          <w:rFonts w:hint="eastAsia" w:ascii="宋体" w:hAnsi="宋体" w:eastAsia="仿宋_GB2312"/>
          <w:color w:val="000000" w:themeColor="text1"/>
          <w:sz w:val="32"/>
          <w:szCs w:val="32"/>
          <w:shd w:val="clear" w:color="auto" w:fill="FFFFFF"/>
          <w14:textFill>
            <w14:solidFill>
              <w14:schemeClr w14:val="tx1"/>
            </w14:solidFill>
          </w14:textFill>
        </w:rPr>
      </w:pPr>
      <w:r>
        <w:rPr>
          <w:rFonts w:hint="eastAsia" w:ascii="宋体" w:hAnsi="宋体" w:eastAsia="仿宋_GB2312"/>
          <w:color w:val="000000" w:themeColor="text1"/>
          <w:sz w:val="32"/>
          <w:szCs w:val="32"/>
          <w:shd w:val="clear" w:color="auto" w:fill="FFFFFF"/>
          <w14:textFill>
            <w14:solidFill>
              <w14:schemeClr w14:val="tx1"/>
            </w14:solidFill>
          </w14:textFill>
        </w:rPr>
        <w:t>本文件符合国家现行法律、法规、规章和强制性标准的要求，对于规范</w:t>
      </w:r>
      <w:r>
        <w:rPr>
          <w:rFonts w:hint="eastAsia" w:ascii="宋体" w:hAnsi="宋体" w:eastAsia="仿宋_GB2312"/>
          <w:color w:val="000000" w:themeColor="text1"/>
          <w:sz w:val="32"/>
          <w:szCs w:val="32"/>
          <w:shd w:val="clear" w:color="auto" w:fill="FFFFFF"/>
          <w:lang w:val="en-US" w:eastAsia="zh-CN"/>
          <w14:textFill>
            <w14:solidFill>
              <w14:schemeClr w14:val="tx1"/>
            </w14:solidFill>
          </w14:textFill>
        </w:rPr>
        <w:t>评价机构</w:t>
      </w:r>
      <w:r>
        <w:rPr>
          <w:rFonts w:hint="eastAsia" w:ascii="宋体" w:hAnsi="宋体" w:eastAsia="仿宋_GB2312"/>
          <w:color w:val="000000" w:themeColor="text1"/>
          <w:sz w:val="32"/>
          <w:szCs w:val="32"/>
          <w:shd w:val="clear" w:color="auto" w:fill="FFFFFF"/>
          <w14:textFill>
            <w14:solidFill>
              <w14:schemeClr w14:val="tx1"/>
            </w14:solidFill>
          </w14:textFill>
        </w:rPr>
        <w:t>提高</w:t>
      </w:r>
      <w:r>
        <w:rPr>
          <w:rFonts w:hint="eastAsia" w:ascii="宋体" w:hAnsi="宋体" w:eastAsia="仿宋_GB2312"/>
          <w:color w:val="000000" w:themeColor="text1"/>
          <w:sz w:val="32"/>
          <w:szCs w:val="32"/>
          <w:shd w:val="clear" w:color="auto" w:fill="FFFFFF"/>
          <w:lang w:val="en-US" w:eastAsia="zh-CN"/>
          <w14:textFill>
            <w14:solidFill>
              <w14:schemeClr w14:val="tx1"/>
            </w14:solidFill>
          </w14:textFill>
        </w:rPr>
        <w:t>海洋石油天然气企业安全现状评价的水平</w:t>
      </w:r>
      <w:r>
        <w:rPr>
          <w:rFonts w:hint="eastAsia" w:ascii="宋体" w:hAnsi="宋体" w:eastAsia="仿宋_GB2312"/>
          <w:color w:val="000000" w:themeColor="text1"/>
          <w:sz w:val="32"/>
          <w:szCs w:val="32"/>
          <w:shd w:val="clear" w:color="auto" w:fill="FFFFFF"/>
          <w14:textFill>
            <w14:solidFill>
              <w14:schemeClr w14:val="tx1"/>
            </w14:solidFill>
          </w14:textFill>
        </w:rPr>
        <w:t>，预防避免发生重大安全事故的发生有重要作用。</w:t>
      </w:r>
    </w:p>
    <w:p w14:paraId="3E420883">
      <w:pPr>
        <w:spacing w:line="560" w:lineRule="exact"/>
        <w:ind w:firstLine="640" w:firstLineChars="200"/>
        <w:rPr>
          <w:rFonts w:hint="eastAsia" w:ascii="宋体" w:hAnsi="宋体" w:eastAsia="仿宋_GB2312"/>
          <w:color w:val="000000" w:themeColor="text1"/>
          <w:sz w:val="32"/>
          <w:szCs w:val="32"/>
          <w:shd w:val="clear" w:color="auto" w:fill="FFFFFF"/>
          <w14:textFill>
            <w14:solidFill>
              <w14:schemeClr w14:val="tx1"/>
            </w14:solidFill>
          </w14:textFill>
        </w:rPr>
      </w:pPr>
      <w:r>
        <w:rPr>
          <w:rFonts w:hint="eastAsia" w:ascii="宋体" w:hAnsi="宋体" w:eastAsia="仿宋_GB2312"/>
          <w:color w:val="000000" w:themeColor="text1"/>
          <w:sz w:val="32"/>
          <w:szCs w:val="32"/>
          <w:shd w:val="clear" w:color="auto" w:fill="FFFFFF"/>
          <w14:textFill>
            <w14:solidFill>
              <w14:schemeClr w14:val="tx1"/>
            </w14:solidFill>
          </w14:textFill>
        </w:rPr>
        <w:t>本文件制定以《</w:t>
      </w:r>
      <w:r>
        <w:rPr>
          <w:rFonts w:hint="eastAsia" w:ascii="宋体" w:hAnsi="宋体" w:eastAsia="仿宋_GB2312" w:cs="宋体"/>
          <w:spacing w:val="5"/>
          <w:kern w:val="0"/>
          <w:sz w:val="32"/>
          <w:szCs w:val="32"/>
          <w:highlight w:val="none"/>
          <w:lang w:val="en-US" w:eastAsia="zh-CN"/>
        </w:rPr>
        <w:t>非煤矿矿山企业安全生产许可证实施办法</w:t>
      </w:r>
      <w:r>
        <w:rPr>
          <w:rFonts w:hint="eastAsia" w:ascii="宋体" w:hAnsi="宋体" w:eastAsia="仿宋_GB2312"/>
          <w:color w:val="000000" w:themeColor="text1"/>
          <w:sz w:val="32"/>
          <w:szCs w:val="32"/>
          <w:shd w:val="clear" w:color="auto" w:fill="FFFFFF"/>
          <w14:textFill>
            <w14:solidFill>
              <w14:schemeClr w14:val="tx1"/>
            </w14:solidFill>
          </w14:textFill>
        </w:rPr>
        <w:t>》作为违反标准行为进行处理的法律法规规章依据。具体条款如下：</w:t>
      </w:r>
    </w:p>
    <w:p w14:paraId="0C184DC1">
      <w:pPr>
        <w:spacing w:line="560" w:lineRule="exact"/>
        <w:ind w:firstLine="640"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w:t>
      </w:r>
      <w:r>
        <w:rPr>
          <w:rFonts w:hint="eastAsia" w:ascii="宋体" w:hAnsi="宋体" w:eastAsia="仿宋_GB2312" w:cs="宋体"/>
          <w:spacing w:val="5"/>
          <w:kern w:val="0"/>
          <w:sz w:val="32"/>
          <w:szCs w:val="32"/>
          <w:highlight w:val="none"/>
          <w:lang w:val="en-US" w:eastAsia="zh-CN"/>
        </w:rPr>
        <w:t>非煤矿矿山企业安全生产许可证实施办法</w:t>
      </w:r>
      <w:r>
        <w:rPr>
          <w:rFonts w:hint="eastAsia" w:ascii="仿宋_GB2312" w:hAnsi="仿宋_GB2312" w:eastAsia="仿宋_GB2312" w:cs="仿宋_GB2312"/>
          <w:color w:val="000000" w:themeColor="text1"/>
          <w:kern w:val="0"/>
          <w:sz w:val="32"/>
          <w:szCs w:val="32"/>
          <w14:textFill>
            <w14:solidFill>
              <w14:schemeClr w14:val="tx1"/>
            </w14:solidFill>
          </w14:textFill>
        </w:rPr>
        <w:t>》</w:t>
      </w:r>
    </w:p>
    <w:p w14:paraId="33E76298">
      <w:pPr>
        <w:numPr>
          <w:ilvl w:val="0"/>
          <w:numId w:val="44"/>
        </w:numPr>
        <w:spacing w:line="560" w:lineRule="exact"/>
        <w:ind w:firstLine="660" w:firstLineChars="200"/>
        <w:rPr>
          <w:rFonts w:hint="eastAsia" w:ascii="宋体" w:hAnsi="宋体" w:eastAsia="仿宋_GB2312" w:cs="宋体"/>
          <w:spacing w:val="5"/>
          <w:kern w:val="0"/>
          <w:sz w:val="32"/>
          <w:szCs w:val="32"/>
          <w:highlight w:val="none"/>
          <w:lang w:val="en-US" w:eastAsia="zh-CN"/>
        </w:rPr>
      </w:pPr>
      <w:r>
        <w:rPr>
          <w:rFonts w:hint="eastAsia" w:ascii="宋体" w:hAnsi="宋体" w:eastAsia="仿宋_GB2312" w:cs="宋体"/>
          <w:spacing w:val="5"/>
          <w:kern w:val="0"/>
          <w:sz w:val="32"/>
          <w:szCs w:val="32"/>
          <w:highlight w:val="none"/>
          <w:lang w:val="en-US" w:eastAsia="zh-CN"/>
        </w:rPr>
        <w:t>安全生产许可证的有效期为3年。安全生产许可证有效期满后需要延期的，非煤矿矿山企业应当在安全生产许可证有效期届满前3个月向原安全生产许可证颁发管理机关申请办理延期手续，并提交下列文件、资料：</w:t>
      </w:r>
    </w:p>
    <w:p w14:paraId="2D2846E6">
      <w:pPr>
        <w:spacing w:line="560" w:lineRule="exact"/>
        <w:ind w:firstLine="660" w:firstLineChars="200"/>
        <w:rPr>
          <w:rFonts w:hint="eastAsia" w:ascii="宋体" w:hAnsi="宋体" w:eastAsia="仿宋_GB2312" w:cs="宋体"/>
          <w:spacing w:val="5"/>
          <w:kern w:val="0"/>
          <w:sz w:val="32"/>
          <w:szCs w:val="32"/>
          <w:highlight w:val="none"/>
          <w:lang w:val="en-US" w:eastAsia="zh-CN"/>
        </w:rPr>
      </w:pPr>
      <w:r>
        <w:rPr>
          <w:rFonts w:hint="eastAsia" w:ascii="宋体" w:hAnsi="宋体" w:eastAsia="仿宋_GB2312" w:cs="宋体"/>
          <w:spacing w:val="5"/>
          <w:kern w:val="0"/>
          <w:sz w:val="32"/>
          <w:szCs w:val="32"/>
          <w:highlight w:val="none"/>
          <w:lang w:val="en-US" w:eastAsia="zh-CN"/>
        </w:rPr>
        <w:t>（一）延期申请书；</w:t>
      </w:r>
    </w:p>
    <w:p w14:paraId="610D648A">
      <w:pPr>
        <w:spacing w:line="560" w:lineRule="exact"/>
        <w:ind w:firstLine="660" w:firstLineChars="200"/>
        <w:rPr>
          <w:rFonts w:hint="eastAsia" w:ascii="宋体" w:hAnsi="宋体" w:eastAsia="仿宋_GB2312" w:cs="宋体"/>
          <w:spacing w:val="5"/>
          <w:kern w:val="0"/>
          <w:sz w:val="32"/>
          <w:szCs w:val="32"/>
          <w:highlight w:val="none"/>
          <w:lang w:val="en-US" w:eastAsia="zh-CN"/>
        </w:rPr>
      </w:pPr>
      <w:r>
        <w:rPr>
          <w:rFonts w:hint="eastAsia" w:ascii="宋体" w:hAnsi="宋体" w:eastAsia="仿宋_GB2312" w:cs="宋体"/>
          <w:spacing w:val="5"/>
          <w:kern w:val="0"/>
          <w:sz w:val="32"/>
          <w:szCs w:val="32"/>
          <w:highlight w:val="none"/>
          <w:lang w:val="en-US" w:eastAsia="zh-CN"/>
        </w:rPr>
        <w:t>（二）安全生产许可证正本和副本；</w:t>
      </w:r>
    </w:p>
    <w:p w14:paraId="72D649BF">
      <w:pPr>
        <w:spacing w:line="560" w:lineRule="exact"/>
        <w:ind w:firstLine="660" w:firstLineChars="200"/>
        <w:rPr>
          <w:rFonts w:hint="eastAsia" w:ascii="宋体" w:hAnsi="宋体" w:eastAsia="仿宋_GB2312" w:cs="宋体"/>
          <w:spacing w:val="5"/>
          <w:kern w:val="0"/>
          <w:sz w:val="32"/>
          <w:szCs w:val="32"/>
          <w:highlight w:val="none"/>
          <w:lang w:val="en-US" w:eastAsia="zh-CN"/>
        </w:rPr>
      </w:pPr>
      <w:r>
        <w:rPr>
          <w:rFonts w:hint="eastAsia" w:ascii="宋体" w:hAnsi="宋体" w:eastAsia="仿宋_GB2312" w:cs="宋体"/>
          <w:spacing w:val="5"/>
          <w:kern w:val="0"/>
          <w:sz w:val="32"/>
          <w:szCs w:val="32"/>
          <w:highlight w:val="none"/>
          <w:lang w:val="en-US" w:eastAsia="zh-CN"/>
        </w:rPr>
        <w:t>（三）本实施办法第二章规定的相应文件、资料。</w:t>
      </w:r>
    </w:p>
    <w:p w14:paraId="079610A8">
      <w:pPr>
        <w:spacing w:line="560" w:lineRule="exact"/>
        <w:ind w:firstLine="660"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宋体" w:hAnsi="宋体" w:eastAsia="仿宋_GB2312" w:cs="宋体"/>
          <w:spacing w:val="5"/>
          <w:kern w:val="0"/>
          <w:sz w:val="32"/>
          <w:szCs w:val="32"/>
          <w:highlight w:val="none"/>
          <w:lang w:val="en-US" w:eastAsia="zh-CN"/>
        </w:rPr>
        <w:t>金属非金属矿山独立生产系统和尾矿库，以及石油天然气独立生产系统和作业单位还应当提交由具备相应资质的中介服务机构出具的合格的安全现状评价报告。</w:t>
      </w:r>
    </w:p>
    <w:p w14:paraId="5222B8AD">
      <w:pPr>
        <w:widowControl/>
        <w:spacing w:line="560" w:lineRule="exact"/>
        <w:ind w:firstLine="640" w:firstLineChars="200"/>
        <w:outlineLvl w:val="9"/>
        <w:rPr>
          <w:rFonts w:hint="eastAsia" w:ascii="黑体" w:hAnsi="黑体" w:eastAsia="黑体"/>
          <w:sz w:val="32"/>
          <w:szCs w:val="32"/>
          <w:lang w:eastAsia="zh-CN"/>
        </w:rPr>
      </w:pPr>
      <w:r>
        <w:rPr>
          <w:rFonts w:hint="eastAsia" w:ascii="黑体" w:hAnsi="黑体" w:eastAsia="黑体"/>
          <w:sz w:val="32"/>
          <w:szCs w:val="32"/>
          <w:lang w:val="en-US" w:eastAsia="zh-CN"/>
        </w:rPr>
        <w:t>十一、</w:t>
      </w:r>
      <w:r>
        <w:rPr>
          <w:rFonts w:hint="eastAsia" w:ascii="黑体" w:hAnsi="黑体" w:eastAsia="黑体"/>
          <w:sz w:val="32"/>
          <w:szCs w:val="32"/>
        </w:rPr>
        <w:t>是否需要对外通报的建议及理由</w:t>
      </w:r>
      <w:r>
        <w:rPr>
          <w:rFonts w:hint="eastAsia" w:ascii="黑体" w:hAnsi="黑体" w:eastAsia="黑体"/>
          <w:sz w:val="32"/>
          <w:szCs w:val="32"/>
          <w:lang w:eastAsia="zh-CN"/>
        </w:rPr>
        <w:t>。</w:t>
      </w:r>
    </w:p>
    <w:p w14:paraId="472E6A2D">
      <w:pPr>
        <w:spacing w:line="560" w:lineRule="exact"/>
        <w:ind w:firstLine="640" w:firstLineChars="200"/>
        <w:rPr>
          <w:rFonts w:hint="eastAsia" w:ascii="宋体" w:hAnsi="宋体" w:eastAsia="仿宋_GB2312"/>
          <w:color w:val="000000" w:themeColor="text1"/>
          <w:sz w:val="32"/>
          <w:szCs w:val="32"/>
          <w:shd w:val="clear" w:color="auto" w:fill="FFFFFF"/>
          <w14:textFill>
            <w14:solidFill>
              <w14:schemeClr w14:val="tx1"/>
            </w14:solidFill>
          </w14:textFill>
        </w:rPr>
      </w:pPr>
      <w:r>
        <w:rPr>
          <w:rFonts w:hint="eastAsia" w:eastAsia="仿宋_GB2312"/>
          <w:sz w:val="32"/>
          <w:szCs w:val="32"/>
        </w:rPr>
        <w:t>无需对外通报。</w:t>
      </w:r>
    </w:p>
    <w:p w14:paraId="47493BB7">
      <w:pPr>
        <w:widowControl/>
        <w:spacing w:line="560" w:lineRule="exact"/>
        <w:ind w:firstLine="640" w:firstLineChars="200"/>
        <w:outlineLvl w:val="0"/>
        <w:rPr>
          <w:rFonts w:hint="eastAsia" w:ascii="黑体" w:hAnsi="黑体" w:eastAsia="黑体"/>
          <w:sz w:val="32"/>
          <w:szCs w:val="32"/>
        </w:rPr>
      </w:pPr>
      <w:r>
        <w:rPr>
          <w:rFonts w:hint="eastAsia" w:ascii="黑体" w:hAnsi="黑体" w:eastAsia="黑体"/>
          <w:sz w:val="32"/>
          <w:szCs w:val="32"/>
          <w:lang w:val="en-US" w:eastAsia="zh-CN"/>
        </w:rPr>
        <w:t>十二、</w:t>
      </w:r>
      <w:r>
        <w:rPr>
          <w:rFonts w:hint="eastAsia" w:ascii="黑体" w:hAnsi="黑体" w:eastAsia="黑体"/>
          <w:sz w:val="32"/>
          <w:szCs w:val="32"/>
        </w:rPr>
        <w:t>废止现行有关标准的建议</w:t>
      </w:r>
    </w:p>
    <w:p w14:paraId="470ACE4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i/>
          <w:iCs/>
          <w:color w:val="FF0000"/>
          <w:sz w:val="32"/>
          <w:szCs w:val="32"/>
          <w:lang w:eastAsia="zh-CN"/>
        </w:rPr>
      </w:pPr>
      <w:r>
        <w:rPr>
          <w:rFonts w:hint="eastAsia" w:ascii="宋体" w:hAnsi="宋体" w:eastAsia="仿宋_GB2312"/>
          <w:i w:val="0"/>
          <w:iCs w:val="0"/>
          <w:color w:val="auto"/>
          <w:sz w:val="32"/>
          <w:szCs w:val="32"/>
          <w:lang w:val="en-US" w:eastAsia="zh-CN"/>
        </w:rPr>
        <w:t>无</w:t>
      </w:r>
      <w:r>
        <w:rPr>
          <w:rFonts w:hint="eastAsia" w:ascii="宋体" w:hAnsi="宋体" w:eastAsia="仿宋_GB2312"/>
          <w:i w:val="0"/>
          <w:iCs w:val="0"/>
          <w:color w:val="auto"/>
          <w:sz w:val="32"/>
          <w:szCs w:val="32"/>
          <w:lang w:eastAsia="zh-CN"/>
        </w:rPr>
        <w:t>。</w:t>
      </w:r>
    </w:p>
    <w:p w14:paraId="3D984ECF">
      <w:pPr>
        <w:widowControl/>
        <w:spacing w:line="560" w:lineRule="exact"/>
        <w:ind w:firstLine="640" w:firstLineChars="200"/>
        <w:outlineLvl w:val="0"/>
        <w:rPr>
          <w:rFonts w:hint="eastAsia" w:ascii="黑体" w:hAnsi="黑体" w:eastAsia="黑体"/>
          <w:sz w:val="32"/>
          <w:szCs w:val="32"/>
        </w:rPr>
      </w:pPr>
      <w:r>
        <w:rPr>
          <w:rFonts w:hint="eastAsia" w:ascii="黑体" w:hAnsi="黑体" w:eastAsia="黑体"/>
          <w:sz w:val="32"/>
          <w:szCs w:val="32"/>
          <w:lang w:val="en-US" w:eastAsia="zh-CN"/>
        </w:rPr>
        <w:t>十三、</w:t>
      </w:r>
      <w:r>
        <w:rPr>
          <w:rFonts w:hint="eastAsia" w:ascii="黑体" w:hAnsi="黑体" w:eastAsia="黑体"/>
          <w:sz w:val="32"/>
          <w:szCs w:val="32"/>
        </w:rPr>
        <w:t>涉及专利的有关说明</w:t>
      </w:r>
    </w:p>
    <w:p w14:paraId="4E54EB80">
      <w:pPr>
        <w:spacing w:line="560" w:lineRule="exact"/>
        <w:ind w:firstLine="640" w:firstLineChars="200"/>
        <w:rPr>
          <w:rFonts w:hint="eastAsia" w:ascii="宋体" w:hAnsi="宋体" w:eastAsia="仿宋_GB2312"/>
          <w:color w:val="000000" w:themeColor="text1"/>
          <w:sz w:val="32"/>
          <w:szCs w:val="32"/>
          <w:shd w:val="clear" w:color="auto" w:fill="FFFFFF"/>
          <w14:textFill>
            <w14:solidFill>
              <w14:schemeClr w14:val="tx1"/>
            </w14:solidFill>
          </w14:textFill>
        </w:rPr>
      </w:pPr>
      <w:r>
        <w:rPr>
          <w:rFonts w:hint="eastAsia" w:ascii="宋体" w:hAnsi="宋体" w:eastAsia="仿宋_GB2312"/>
          <w:color w:val="000000" w:themeColor="text1"/>
          <w:sz w:val="32"/>
          <w:szCs w:val="32"/>
          <w:shd w:val="clear" w:color="auto" w:fill="FFFFFF"/>
          <w14:textFill>
            <w14:solidFill>
              <w14:schemeClr w14:val="tx1"/>
            </w14:solidFill>
          </w14:textFill>
        </w:rPr>
        <w:t>本标准未涉及相关专利。</w:t>
      </w:r>
    </w:p>
    <w:p w14:paraId="22B42B5F">
      <w:pPr>
        <w:widowControl/>
        <w:spacing w:line="560" w:lineRule="exact"/>
        <w:ind w:firstLine="640" w:firstLineChars="200"/>
        <w:outlineLvl w:val="0"/>
        <w:rPr>
          <w:rFonts w:hint="eastAsia" w:ascii="黑体" w:hAnsi="黑体" w:eastAsia="黑体"/>
          <w:sz w:val="32"/>
          <w:szCs w:val="32"/>
        </w:rPr>
      </w:pPr>
      <w:r>
        <w:rPr>
          <w:rFonts w:hint="eastAsia" w:ascii="黑体" w:hAnsi="黑体" w:eastAsia="黑体"/>
          <w:sz w:val="32"/>
          <w:szCs w:val="32"/>
          <w:lang w:val="en-US" w:eastAsia="zh-CN"/>
        </w:rPr>
        <w:t>十四、</w:t>
      </w:r>
      <w:r>
        <w:rPr>
          <w:rFonts w:hint="eastAsia" w:ascii="黑体" w:hAnsi="黑体" w:eastAsia="黑体"/>
          <w:sz w:val="32"/>
          <w:szCs w:val="32"/>
        </w:rPr>
        <w:t>标准所涉及的产品、过程或者服务目录</w:t>
      </w:r>
    </w:p>
    <w:p w14:paraId="5E44D550">
      <w:pPr>
        <w:spacing w:line="560" w:lineRule="exact"/>
        <w:ind w:firstLine="640" w:firstLineChars="200"/>
        <w:rPr>
          <w:rFonts w:hint="eastAsia" w:ascii="宋体" w:hAnsi="宋体" w:eastAsia="仿宋_GB2312"/>
          <w:color w:val="000000" w:themeColor="text1"/>
          <w:sz w:val="32"/>
          <w:szCs w:val="32"/>
          <w14:textFill>
            <w14:solidFill>
              <w14:schemeClr w14:val="tx1"/>
            </w14:solidFill>
          </w14:textFill>
        </w:rPr>
      </w:pPr>
      <w:r>
        <w:rPr>
          <w:rFonts w:ascii="宋体" w:hAnsi="宋体" w:eastAsia="仿宋_GB2312"/>
          <w:sz w:val="32"/>
          <w:szCs w:val="32"/>
        </w:rPr>
        <w:t>本文件不涉及产品、过程或者服务目录</w:t>
      </w:r>
      <w:r>
        <w:rPr>
          <w:rFonts w:hint="eastAsia" w:ascii="宋体" w:hAnsi="宋体" w:eastAsia="仿宋_GB2312"/>
          <w:color w:val="000000" w:themeColor="text1"/>
          <w:sz w:val="32"/>
          <w:szCs w:val="32"/>
          <w14:textFill>
            <w14:solidFill>
              <w14:schemeClr w14:val="tx1"/>
            </w14:solidFill>
          </w14:textFill>
        </w:rPr>
        <w:t>。</w:t>
      </w:r>
    </w:p>
    <w:p w14:paraId="4F68DE5E">
      <w:pPr>
        <w:widowControl/>
        <w:spacing w:line="560" w:lineRule="exact"/>
        <w:ind w:firstLine="640" w:firstLineChars="200"/>
        <w:outlineLvl w:val="0"/>
        <w:rPr>
          <w:rFonts w:hint="eastAsia" w:ascii="黑体" w:hAnsi="黑体" w:eastAsia="黑体"/>
          <w:sz w:val="32"/>
          <w:szCs w:val="32"/>
        </w:rPr>
      </w:pPr>
      <w:r>
        <w:rPr>
          <w:rFonts w:hint="eastAsia" w:ascii="黑体" w:hAnsi="黑体" w:eastAsia="黑体"/>
          <w:sz w:val="32"/>
          <w:szCs w:val="32"/>
          <w:lang w:val="en-US" w:eastAsia="zh-CN"/>
        </w:rPr>
        <w:t>十五、</w:t>
      </w:r>
      <w:r>
        <w:rPr>
          <w:rFonts w:hint="eastAsia" w:ascii="黑体" w:hAnsi="黑体" w:eastAsia="黑体"/>
          <w:sz w:val="32"/>
          <w:szCs w:val="32"/>
        </w:rPr>
        <w:t>其他应予以说明的事项</w:t>
      </w:r>
    </w:p>
    <w:p w14:paraId="719B9594">
      <w:pPr>
        <w:spacing w:line="560" w:lineRule="exact"/>
        <w:ind w:firstLine="640" w:firstLineChars="200"/>
        <w:rPr>
          <w:rFonts w:hint="eastAsia" w:ascii="宋体" w:hAnsi="宋体" w:eastAsia="仿宋_GB2312"/>
          <w:color w:val="000000" w:themeColor="text1"/>
          <w:sz w:val="32"/>
          <w:szCs w:val="32"/>
          <w:shd w:val="clear" w:color="auto" w:fill="FFFFFF"/>
          <w14:textFill>
            <w14:solidFill>
              <w14:schemeClr w14:val="tx1"/>
            </w14:solidFill>
          </w14:textFill>
        </w:rPr>
      </w:pPr>
      <w:r>
        <w:rPr>
          <w:rFonts w:hint="eastAsia" w:eastAsia="仿宋_GB2312"/>
          <w:sz w:val="32"/>
          <w:szCs w:val="32"/>
          <w:shd w:val="clear" w:color="auto" w:fill="FFFFFF"/>
          <w:lang w:val="en-US" w:eastAsia="zh-CN"/>
        </w:rPr>
        <w:t>无</w:t>
      </w:r>
      <w:r>
        <w:rPr>
          <w:rFonts w:hint="eastAsia" w:ascii="宋体" w:hAnsi="宋体" w:eastAsia="仿宋_GB2312"/>
          <w:color w:val="000000" w:themeColor="text1"/>
          <w:sz w:val="32"/>
          <w:szCs w:val="32"/>
          <w:shd w:val="clear" w:color="auto" w:fill="FFFFFF"/>
          <w14:textFill>
            <w14:solidFill>
              <w14:schemeClr w14:val="tx1"/>
            </w14:solidFill>
          </w14:textFill>
        </w:rPr>
        <w:t>。</w:t>
      </w:r>
    </w:p>
    <w:p w14:paraId="690553D5"/>
    <w:p w14:paraId="09E1D9F3">
      <w:pPr>
        <w:pStyle w:val="27"/>
        <w:rPr>
          <w:highlight w:val="none"/>
        </w:rPr>
      </w:pPr>
    </w:p>
    <w:sectPr>
      <w:headerReference r:id="rId30" w:type="default"/>
      <w:footerReference r:id="rId32" w:type="default"/>
      <w:headerReference r:id="rId31" w:type="even"/>
      <w:footerReference r:id="rId33" w:type="even"/>
      <w:pgSz w:w="11906" w:h="16838"/>
      <w:pgMar w:top="1701" w:right="1474" w:bottom="1474" w:left="1587" w:header="1418" w:footer="1134" w:gutter="283"/>
      <w:pgNumType w:fmt="decimal" w:start="1"/>
      <w:cols w:space="0" w:num="1"/>
      <w:formProt w:val="0"/>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Light">
    <w:panose1 w:val="02010600030101010101"/>
    <w:charset w:val="86"/>
    <w:family w:val="roman"/>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简体">
    <w:altName w:val="黑体"/>
    <w:panose1 w:val="02000000000000000000"/>
    <w:charset w:val="86"/>
    <w:family w:val="auto"/>
    <w:pitch w:val="default"/>
    <w:sig w:usb0="00000000" w:usb1="00000000" w:usb2="00000012" w:usb3="00000000" w:csb0="00040001" w:csb1="00000000"/>
  </w:font>
  <w:font w:name="Wingdings 2">
    <w:altName w:val="Wingdings"/>
    <w:panose1 w:val="05020102010507070707"/>
    <w:charset w:val="00"/>
    <w:family w:val="auto"/>
    <w:pitch w:val="default"/>
    <w:sig w:usb0="00000000" w:usb1="00000000" w:usb2="00000000" w:usb3="00000000" w:csb0="80000000" w:csb1="00000000"/>
  </w:font>
  <w:font w:name="方正小标宋_GBK">
    <w:altName w:val="微软雅黑"/>
    <w:panose1 w:val="02000000000000000000"/>
    <w:charset w:val="86"/>
    <w:family w:val="auto"/>
    <w:pitch w:val="default"/>
    <w:sig w:usb0="00000000" w:usb1="00000000" w:usb2="00082016" w:usb3="00000000" w:csb0="00040001" w:csb1="00000000"/>
  </w:font>
  <w:font w:name="华文宋体">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37789">
    <w:pPr>
      <w:pStyle w:val="79"/>
      <w:rPr>
        <w:rStyle w:val="40"/>
      </w:rPr>
    </w:pPr>
    <w:r>
      <w:fldChar w:fldCharType="begin"/>
    </w:r>
    <w:r>
      <w:rPr>
        <w:rStyle w:val="40"/>
      </w:rPr>
      <w:instrText xml:space="preserve">PAGE  </w:instrText>
    </w:r>
    <w:r>
      <w:fldChar w:fldCharType="separate"/>
    </w:r>
    <w:r>
      <w:rPr>
        <w:rStyle w:val="40"/>
      </w:rPr>
      <w:t>I</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1202C">
    <w:pPr>
      <w:pStyle w:val="21"/>
      <w:framePr w:wrap="around" w:vAnchor="text" w:hAnchor="margin" w:xAlign="inside" w:y="1"/>
      <w:rPr>
        <w:rStyle w:val="40"/>
      </w:rPr>
    </w:pPr>
    <w:r>
      <w:fldChar w:fldCharType="begin"/>
    </w:r>
    <w:r>
      <w:rPr>
        <w:rStyle w:val="40"/>
      </w:rPr>
      <w:instrText xml:space="preserve">PAGE  </w:instrText>
    </w:r>
    <w:r>
      <w:fldChar w:fldCharType="separate"/>
    </w:r>
    <w:r>
      <w:rPr>
        <w:rStyle w:val="40"/>
      </w:rPr>
      <w:t>II</w:t>
    </w:r>
    <w:r>
      <w:fldChar w:fldCharType="end"/>
    </w:r>
  </w:p>
  <w:p w14:paraId="770AC022">
    <w:pPr>
      <w:pStyle w:val="2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8A956">
    <w:pPr>
      <w:pStyle w:val="79"/>
    </w:pPr>
    <w:r>
      <mc:AlternateContent>
        <mc:Choice Requires="wps">
          <w:drawing>
            <wp:anchor distT="0" distB="0" distL="114300" distR="114300" simplePos="0" relativeHeight="25167974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2166E8">
                          <w:pPr>
                            <w:pStyle w:val="79"/>
                          </w:pPr>
                          <w:r>
                            <w:rPr>
                              <w:rFonts w:hint="eastAsia"/>
                            </w:rPr>
                            <w:fldChar w:fldCharType="begin"/>
                          </w:r>
                          <w:r>
                            <w:rPr>
                              <w:rFonts w:hint="eastAsia"/>
                            </w:rPr>
                            <w:instrText xml:space="preserve"> PAGE  \* MERGEFORMAT </w:instrText>
                          </w:r>
                          <w:r>
                            <w:rPr>
                              <w:rFonts w:hint="eastAsia"/>
                            </w:rPr>
                            <w:fldChar w:fldCharType="separate"/>
                          </w:r>
                          <w:r>
                            <w:t>I</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Tx9Sg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E8fUoKwIAAFcEAAAOAAAAAAAAAAEAIAAAAB8BAABkcnMvZTJvRG9jLnhtbFBLBQYAAAAABgAG&#10;AFkBAAC8BQAAAAA=&#10;">
              <v:fill on="f" focussize="0,0"/>
              <v:stroke on="f" weight="0.5pt"/>
              <v:imagedata o:title=""/>
              <o:lock v:ext="edit" aspectratio="f"/>
              <v:textbox inset="0mm,0mm,0mm,0mm" style="mso-fit-shape-to-text:t;">
                <w:txbxContent>
                  <w:p w14:paraId="522166E8">
                    <w:pPr>
                      <w:pStyle w:val="79"/>
                    </w:pPr>
                    <w:r>
                      <w:rPr>
                        <w:rFonts w:hint="eastAsia"/>
                      </w:rPr>
                      <w:fldChar w:fldCharType="begin"/>
                    </w:r>
                    <w:r>
                      <w:rPr>
                        <w:rFonts w:hint="eastAsia"/>
                      </w:rPr>
                      <w:instrText xml:space="preserve"> PAGE  \* MERGEFORMAT </w:instrText>
                    </w:r>
                    <w:r>
                      <w:rPr>
                        <w:rFonts w:hint="eastAsia"/>
                      </w:rPr>
                      <w:fldChar w:fldCharType="separate"/>
                    </w:r>
                    <w:r>
                      <w:t>I</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E8848">
    <w:pPr>
      <w:pStyle w:val="21"/>
      <w:ind w:firstLine="360"/>
    </w:pPr>
    <w:r>
      <mc:AlternateContent>
        <mc:Choice Requires="wps">
          <w:drawing>
            <wp:anchor distT="0" distB="0" distL="114300" distR="114300" simplePos="0" relativeHeight="251680768" behindDoc="0" locked="0" layoutInCell="1" allowOverlap="1">
              <wp:simplePos x="0" y="0"/>
              <wp:positionH relativeFrom="margin">
                <wp:align>outside</wp:align>
              </wp:positionH>
              <wp:positionV relativeFrom="paragraph">
                <wp:posOffset>0</wp:posOffset>
              </wp:positionV>
              <wp:extent cx="360045"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36004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D98606">
                          <w:pPr>
                            <w:pStyle w:val="21"/>
                            <w:rPr>
                              <w:rStyle w:val="40"/>
                            </w:rPr>
                          </w:pPr>
                          <w:r>
                            <w:fldChar w:fldCharType="begin"/>
                          </w:r>
                          <w:r>
                            <w:rPr>
                              <w:rStyle w:val="40"/>
                            </w:rPr>
                            <w:instrText xml:space="preserve">PAGE  </w:instrText>
                          </w:r>
                          <w:r>
                            <w:fldChar w:fldCharType="separate"/>
                          </w:r>
                          <w:r>
                            <w:rPr>
                              <w:rStyle w:val="40"/>
                            </w:rPr>
                            <w:t>II</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28.35pt;mso-position-horizontal:outside;mso-position-horizontal-relative:margin;z-index:251680768;mso-width-relative:page;mso-height-relative:page;" filled="f" stroked="f" coordsize="21600,21600" o:gfxdata="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aU4erdQAAAAEAQAADwAAAAAAAAABACAAAAAiAAAAZHJzL2Rvd25yZXYueG1sUEsB&#10;AhQAFAAAAAgAh07iQI8e5NQyAgAAWAQAAA4AAAAAAAAAAQAgAAAAIwEAAGRycy9lMm9Eb2MueG1s&#10;UEsFBgAAAAAGAAYAWQEAAMcFAAAAAA==&#10;">
              <v:fill on="f" focussize="0,0"/>
              <v:stroke on="f" weight="0.5pt"/>
              <v:imagedata o:title=""/>
              <o:lock v:ext="edit" aspectratio="f"/>
              <v:textbox inset="0mm,0mm,0mm,0mm" style="mso-fit-shape-to-text:t;">
                <w:txbxContent>
                  <w:p w14:paraId="5AD98606">
                    <w:pPr>
                      <w:pStyle w:val="21"/>
                      <w:rPr>
                        <w:rStyle w:val="40"/>
                      </w:rPr>
                    </w:pPr>
                    <w:r>
                      <w:fldChar w:fldCharType="begin"/>
                    </w:r>
                    <w:r>
                      <w:rPr>
                        <w:rStyle w:val="40"/>
                      </w:rPr>
                      <w:instrText xml:space="preserve">PAGE  </w:instrText>
                    </w:r>
                    <w:r>
                      <w:fldChar w:fldCharType="separate"/>
                    </w:r>
                    <w:r>
                      <w:rPr>
                        <w:rStyle w:val="40"/>
                      </w:rPr>
                      <w:t>II</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3CD05">
    <w:pPr>
      <w:pStyle w:val="79"/>
      <w:spacing w:before="0"/>
    </w:pPr>
    <w:r>
      <mc:AlternateContent>
        <mc:Choice Requires="wps">
          <w:drawing>
            <wp:anchor distT="0" distB="0" distL="114300" distR="114300" simplePos="0" relativeHeight="251677696" behindDoc="0" locked="0" layoutInCell="1" allowOverlap="1">
              <wp:simplePos x="0" y="0"/>
              <wp:positionH relativeFrom="margin">
                <wp:align>outside</wp:align>
              </wp:positionH>
              <wp:positionV relativeFrom="paragraph">
                <wp:posOffset>0</wp:posOffset>
              </wp:positionV>
              <wp:extent cx="360045" cy="15494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360045" cy="1549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C812CE">
                          <w:pPr>
                            <w:pStyle w:val="79"/>
                            <w:spacing w:before="0"/>
                            <w:ind w:right="231" w:rightChars="110"/>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2.2pt;width:28.35pt;mso-position-horizontal:outside;mso-position-horizontal-relative:margin;z-index:251677696;mso-width-relative:page;mso-height-relative:page;" filled="f" stroked="f" coordsize="21600,21600" o:gfxdata="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MfeMotMAAAADAQAADwAAAAAAAAABACAAAAAiAAAAZHJzL2Rvd25yZXYueG1sUEsB&#10;AhQAFAAAAAgAh07iQCWeLZEzAgAAVwQAAA4AAAAAAAAAAQAgAAAAIgEAAGRycy9lMm9Eb2MueG1s&#10;UEsFBgAAAAAGAAYAWQEAAMcFAAAAAA==&#10;">
              <v:fill on="f" focussize="0,0"/>
              <v:stroke on="f" weight="0.5pt"/>
              <v:imagedata o:title=""/>
              <o:lock v:ext="edit" aspectratio="f"/>
              <v:textbox inset="0mm,0mm,0mm,0mm" style="mso-fit-shape-to-text:t;">
                <w:txbxContent>
                  <w:p w14:paraId="72C812CE">
                    <w:pPr>
                      <w:pStyle w:val="79"/>
                      <w:spacing w:before="0"/>
                      <w:ind w:right="231" w:rightChars="110"/>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C3CC8">
    <w:pPr>
      <w:pStyle w:val="21"/>
      <w:ind w:firstLine="360"/>
    </w:pPr>
    <w:r>
      <mc:AlternateContent>
        <mc:Choice Requires="wps">
          <w:drawing>
            <wp:anchor distT="0" distB="0" distL="114300" distR="114300" simplePos="0" relativeHeight="251678720" behindDoc="0" locked="0" layoutInCell="1" allowOverlap="1">
              <wp:simplePos x="0" y="0"/>
              <wp:positionH relativeFrom="margin">
                <wp:align>outside</wp:align>
              </wp:positionH>
              <wp:positionV relativeFrom="paragraph">
                <wp:posOffset>0</wp:posOffset>
              </wp:positionV>
              <wp:extent cx="493395" cy="136525"/>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493395" cy="1365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42D20E">
                          <w:pPr>
                            <w:pStyle w:val="21"/>
                            <w:jc w:val="center"/>
                            <w:rPr>
                              <w:rStyle w:val="40"/>
                              <w:rFonts w:ascii="宋体" w:hAnsi="宋体" w:cs="宋体"/>
                            </w:rPr>
                          </w:pPr>
                          <w:r>
                            <w:rPr>
                              <w:rFonts w:hint="eastAsia" w:ascii="宋体" w:hAnsi="宋体" w:cs="宋体"/>
                            </w:rPr>
                            <w:fldChar w:fldCharType="begin"/>
                          </w:r>
                          <w:r>
                            <w:rPr>
                              <w:rStyle w:val="40"/>
                              <w:rFonts w:hint="eastAsia" w:ascii="宋体" w:hAnsi="宋体" w:cs="宋体"/>
                            </w:rPr>
                            <w:instrText xml:space="preserve">PAGE  </w:instrText>
                          </w:r>
                          <w:r>
                            <w:rPr>
                              <w:rFonts w:hint="eastAsia" w:ascii="宋体" w:hAnsi="宋体" w:cs="宋体"/>
                            </w:rPr>
                            <w:fldChar w:fldCharType="separate"/>
                          </w:r>
                          <w:r>
                            <w:rPr>
                              <w:rStyle w:val="40"/>
                              <w:rFonts w:ascii="宋体" w:hAnsi="宋体" w:cs="宋体"/>
                            </w:rPr>
                            <w:t>6</w:t>
                          </w:r>
                          <w:r>
                            <w:rPr>
                              <w:rFonts w:hint="eastAsia" w:ascii="宋体" w:hAnsi="宋体" w:cs="宋体"/>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0pt;height:10.75pt;width:38.85pt;mso-position-horizontal:outside;mso-position-horizontal-relative:margin;z-index:251678720;mso-width-relative:page;mso-height-relative:page;" filled="f" stroked="f" coordsize="21600,21600" o:gfxdata="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cIRQwtMAAAADAQAADwAAAAAAAAABACAAAAAiAAAAZHJzL2Rvd25yZXYueG1sUEsB&#10;AhQAFAAAAAgAh07iQFA2MwEzAgAAVwQAAA4AAAAAAAAAAQAgAAAAIgEAAGRycy9lMm9Eb2MueG1s&#10;UEsFBgAAAAAGAAYAWQEAAMcFAAAAAA==&#10;">
              <v:fill on="f" focussize="0,0"/>
              <v:stroke on="f" weight="0.5pt"/>
              <v:imagedata o:title=""/>
              <o:lock v:ext="edit" aspectratio="f"/>
              <v:textbox inset="0mm,0mm,0mm,0mm">
                <w:txbxContent>
                  <w:p w14:paraId="3542D20E">
                    <w:pPr>
                      <w:pStyle w:val="21"/>
                      <w:jc w:val="center"/>
                      <w:rPr>
                        <w:rStyle w:val="40"/>
                        <w:rFonts w:ascii="宋体" w:hAnsi="宋体" w:cs="宋体"/>
                      </w:rPr>
                    </w:pPr>
                    <w:r>
                      <w:rPr>
                        <w:rFonts w:hint="eastAsia" w:ascii="宋体" w:hAnsi="宋体" w:cs="宋体"/>
                      </w:rPr>
                      <w:fldChar w:fldCharType="begin"/>
                    </w:r>
                    <w:r>
                      <w:rPr>
                        <w:rStyle w:val="40"/>
                        <w:rFonts w:hint="eastAsia" w:ascii="宋体" w:hAnsi="宋体" w:cs="宋体"/>
                      </w:rPr>
                      <w:instrText xml:space="preserve">PAGE  </w:instrText>
                    </w:r>
                    <w:r>
                      <w:rPr>
                        <w:rFonts w:hint="eastAsia" w:ascii="宋体" w:hAnsi="宋体" w:cs="宋体"/>
                      </w:rPr>
                      <w:fldChar w:fldCharType="separate"/>
                    </w:r>
                    <w:r>
                      <w:rPr>
                        <w:rStyle w:val="40"/>
                        <w:rFonts w:ascii="宋体" w:hAnsi="宋体" w:cs="宋体"/>
                      </w:rPr>
                      <w:t>6</w:t>
                    </w:r>
                    <w:r>
                      <w:rPr>
                        <w:rFonts w:hint="eastAsia" w:ascii="宋体" w:hAnsi="宋体" w:cs="宋体"/>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2A7E8">
    <w:pPr>
      <w:pStyle w:val="21"/>
      <w:tabs>
        <w:tab w:val="center" w:pos="4153"/>
        <w:tab w:val="right" w:pos="8306"/>
      </w:tabs>
    </w:pPr>
    <w:r>
      <mc:AlternateContent>
        <mc:Choice Requires="wps">
          <w:drawing>
            <wp:anchor distT="0" distB="0" distL="114300" distR="114300" simplePos="0" relativeHeight="251672576" behindDoc="0" locked="0" layoutInCell="1" allowOverlap="1">
              <wp:simplePos x="0" y="0"/>
              <wp:positionH relativeFrom="margin">
                <wp:align>outside</wp:align>
              </wp:positionH>
              <wp:positionV relativeFrom="paragraph">
                <wp:posOffset>0</wp:posOffset>
              </wp:positionV>
              <wp:extent cx="360045" cy="15494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360045" cy="154940"/>
                      </a:xfrm>
                      <a:prstGeom prst="rect">
                        <a:avLst/>
                      </a:prstGeom>
                      <a:noFill/>
                      <a:ln>
                        <a:noFill/>
                      </a:ln>
                    </wps:spPr>
                    <wps:txbx>
                      <w:txbxContent>
                        <w:p w14:paraId="2F3B6FC0">
                          <w:pPr>
                            <w:pStyle w:val="21"/>
                            <w:tabs>
                              <w:tab w:val="center" w:pos="4153"/>
                              <w:tab w:val="right" w:pos="8306"/>
                            </w:tabs>
                            <w:ind w:right="231" w:rightChars="110"/>
                            <w:rPr>
                              <w:rFonts w:ascii="宋体" w:hAnsi="宋体" w:cs="宋体"/>
                            </w:rPr>
                          </w:pP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11</w:t>
                          </w:r>
                          <w:r>
                            <w:rPr>
                              <w:rFonts w:hint="eastAsia" w:ascii="宋体" w:hAnsi="宋体" w:cs="宋体"/>
                            </w:rPr>
                            <w:fldChar w:fldCharType="end"/>
                          </w:r>
                        </w:p>
                      </w:txbxContent>
                    </wps:txbx>
                    <wps:bodyPr lIns="0" tIns="0" rIns="0" bIns="0"/>
                  </wps:wsp>
                </a:graphicData>
              </a:graphic>
            </wp:anchor>
          </w:drawing>
        </mc:Choice>
        <mc:Fallback>
          <w:pict>
            <v:shape id="_x0000_s1026" o:spid="_x0000_s1026" o:spt="202" type="#_x0000_t202" style="position:absolute;left:0pt;margin-top:0pt;height:12.2pt;width:28.35pt;mso-position-horizontal:outside;mso-position-horizontal-relative:margin;z-index:251672576;mso-width-relative:page;mso-height-relative:page;" filled="f" stroked="f" coordsize="21600,21600" o:gfxdata="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p&#10;O1OW1AAAAAMBAAAPAAAAAAAAAAEAIAAAACIAAABkcnMvZG93bnJldi54bWxQSwECFAAUAAAACACH&#10;TuJAgmDoM7YBAABnAwAADgAAAAAAAAABACAAAAAjAQAAZHJzL2Uyb0RvYy54bWxQSwUGAAAAAAYA&#10;BgBZAQAASwUAAAAA&#10;">
              <v:fill on="f" focussize="0,0"/>
              <v:stroke on="f"/>
              <v:imagedata o:title=""/>
              <o:lock v:ext="edit" aspectratio="f"/>
              <v:textbox inset="0mm,0mm,0mm,0mm">
                <w:txbxContent>
                  <w:p w14:paraId="2F3B6FC0">
                    <w:pPr>
                      <w:pStyle w:val="21"/>
                      <w:tabs>
                        <w:tab w:val="center" w:pos="4153"/>
                        <w:tab w:val="right" w:pos="8306"/>
                      </w:tabs>
                      <w:ind w:right="231" w:rightChars="110"/>
                      <w:rPr>
                        <w:rFonts w:ascii="宋体" w:hAnsi="宋体" w:cs="宋体"/>
                      </w:rPr>
                    </w:pP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11</w:t>
                    </w:r>
                    <w:r>
                      <w:rPr>
                        <w:rFonts w:hint="eastAsia" w:ascii="宋体" w:hAnsi="宋体" w:cs="宋体"/>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E3BFE">
    <w:pPr>
      <w:pStyle w:val="21"/>
      <w:tabs>
        <w:tab w:val="center" w:pos="4153"/>
        <w:tab w:val="right" w:pos="8306"/>
      </w:tabs>
    </w:pPr>
    <w:r>
      <mc:AlternateContent>
        <mc:Choice Requires="wps">
          <w:drawing>
            <wp:anchor distT="0" distB="0" distL="114300" distR="114300" simplePos="0" relativeHeight="251671552" behindDoc="0" locked="0" layoutInCell="1" allowOverlap="1">
              <wp:simplePos x="0" y="0"/>
              <wp:positionH relativeFrom="margin">
                <wp:align>outside</wp:align>
              </wp:positionH>
              <wp:positionV relativeFrom="paragraph">
                <wp:posOffset>0</wp:posOffset>
              </wp:positionV>
              <wp:extent cx="493395" cy="136525"/>
              <wp:effectExtent l="0" t="0" r="0" b="0"/>
              <wp:wrapNone/>
              <wp:docPr id="1" name="文本框 1"/>
              <wp:cNvGraphicFramePr/>
              <a:graphic xmlns:a="http://schemas.openxmlformats.org/drawingml/2006/main">
                <a:graphicData uri="http://schemas.microsoft.com/office/word/2010/wordprocessingShape">
                  <wps:wsp>
                    <wps:cNvSpPr txBox="1"/>
                    <wps:spPr>
                      <a:xfrm>
                        <a:off x="0" y="0"/>
                        <a:ext cx="493395" cy="136525"/>
                      </a:xfrm>
                      <a:prstGeom prst="rect">
                        <a:avLst/>
                      </a:prstGeom>
                      <a:noFill/>
                      <a:ln>
                        <a:noFill/>
                      </a:ln>
                    </wps:spPr>
                    <wps:txbx>
                      <w:txbxContent>
                        <w:p w14:paraId="38EAEF31">
                          <w:pPr>
                            <w:pStyle w:val="21"/>
                            <w:tabs>
                              <w:tab w:val="center" w:pos="4153"/>
                              <w:tab w:val="right" w:pos="8306"/>
                            </w:tabs>
                            <w:jc w:val="center"/>
                            <w:rPr>
                              <w:rFonts w:ascii="宋体" w:hAnsi="宋体" w:cs="宋体"/>
                            </w:rPr>
                          </w:pP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10</w:t>
                          </w:r>
                          <w:r>
                            <w:rPr>
                              <w:rFonts w:hint="eastAsia" w:ascii="宋体" w:hAnsi="宋体" w:cs="宋体"/>
                            </w:rPr>
                            <w:fldChar w:fldCharType="end"/>
                          </w:r>
                        </w:p>
                      </w:txbxContent>
                    </wps:txbx>
                    <wps:bodyPr lIns="0" tIns="0" rIns="0" bIns="0">
                      <a:noAutofit/>
                    </wps:bodyPr>
                  </wps:wsp>
                </a:graphicData>
              </a:graphic>
            </wp:anchor>
          </w:drawing>
        </mc:Choice>
        <mc:Fallback>
          <w:pict>
            <v:shape id="_x0000_s1026" o:spid="_x0000_s1026" o:spt="202" type="#_x0000_t202" style="position:absolute;left:0pt;margin-top:0pt;height:10.75pt;width:38.85pt;mso-position-horizontal:outside;mso-position-horizontal-relative:margin;z-index:251671552;mso-width-relative:page;mso-height-relative:page;" filled="f" stroked="f" coordsize="21600,21600" o:gfxdata="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7JIGt1AAAAAMBAAAPAAAAAAAAAAEAIAAAACIAAABkcnMvZG93bnJldi54bWxQSwEC&#10;FAAUAAAACACHTuJAI87cWL8BAAB/AwAADgAAAAAAAAABACAAAAAjAQAAZHJzL2Uyb0RvYy54bWxQ&#10;SwUGAAAAAAYABgBZAQAAVAUAAAAA&#10;">
              <v:fill on="f" focussize="0,0"/>
              <v:stroke on="f"/>
              <v:imagedata o:title=""/>
              <o:lock v:ext="edit" aspectratio="f"/>
              <v:textbox inset="0mm,0mm,0mm,0mm">
                <w:txbxContent>
                  <w:p w14:paraId="38EAEF31">
                    <w:pPr>
                      <w:pStyle w:val="21"/>
                      <w:tabs>
                        <w:tab w:val="center" w:pos="4153"/>
                        <w:tab w:val="right" w:pos="8306"/>
                      </w:tabs>
                      <w:jc w:val="center"/>
                      <w:rPr>
                        <w:rFonts w:ascii="宋体" w:hAnsi="宋体" w:cs="宋体"/>
                      </w:rPr>
                    </w:pP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10</w:t>
                    </w:r>
                    <w:r>
                      <w:rPr>
                        <w:rFonts w:hint="eastAsia" w:ascii="宋体" w:hAnsi="宋体" w:cs="宋体"/>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63B77">
    <w:pPr>
      <w:pStyle w:val="21"/>
      <w:tabs>
        <w:tab w:val="center" w:pos="4153"/>
        <w:tab w:val="right" w:pos="8306"/>
      </w:tabs>
    </w:pPr>
    <w:r>
      <mc:AlternateContent>
        <mc:Choice Requires="wps">
          <w:drawing>
            <wp:anchor distT="0" distB="0" distL="114300" distR="114300" simplePos="0" relativeHeight="251674624" behindDoc="0" locked="0" layoutInCell="1" allowOverlap="1">
              <wp:simplePos x="0" y="0"/>
              <wp:positionH relativeFrom="margin">
                <wp:align>outside</wp:align>
              </wp:positionH>
              <wp:positionV relativeFrom="paragraph">
                <wp:posOffset>0</wp:posOffset>
              </wp:positionV>
              <wp:extent cx="360045" cy="15494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360045" cy="154940"/>
                      </a:xfrm>
                      <a:prstGeom prst="rect">
                        <a:avLst/>
                      </a:prstGeom>
                      <a:noFill/>
                      <a:ln>
                        <a:noFill/>
                      </a:ln>
                    </wps:spPr>
                    <wps:txbx>
                      <w:txbxContent>
                        <w:p w14:paraId="26F665CD">
                          <w:pPr>
                            <w:pStyle w:val="21"/>
                            <w:tabs>
                              <w:tab w:val="center" w:pos="4153"/>
                              <w:tab w:val="right" w:pos="8306"/>
                            </w:tabs>
                            <w:ind w:right="231" w:rightChars="110"/>
                            <w:rPr>
                              <w:rFonts w:ascii="宋体" w:hAnsi="宋体" w:cs="宋体"/>
                            </w:rPr>
                          </w:pP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13</w:t>
                          </w:r>
                          <w:r>
                            <w:rPr>
                              <w:rFonts w:hint="eastAsia" w:ascii="宋体" w:hAnsi="宋体" w:cs="宋体"/>
                            </w:rPr>
                            <w:fldChar w:fldCharType="end"/>
                          </w:r>
                        </w:p>
                      </w:txbxContent>
                    </wps:txbx>
                    <wps:bodyPr lIns="0" tIns="0" rIns="0" bIns="0"/>
                  </wps:wsp>
                </a:graphicData>
              </a:graphic>
            </wp:anchor>
          </w:drawing>
        </mc:Choice>
        <mc:Fallback>
          <w:pict>
            <v:shape id="_x0000_s1026" o:spid="_x0000_s1026" o:spt="202" type="#_x0000_t202" style="position:absolute;left:0pt;margin-top:0pt;height:12.2pt;width:28.35pt;mso-position-horizontal:outside;mso-position-horizontal-relative:margin;z-index:251674624;mso-width-relative:page;mso-height-relative:page;" filled="f" stroked="f" coordsize="21600,21600" o:gfxdata="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p&#10;O1OW1AAAAAMBAAAPAAAAAAAAAAEAIAAAACIAAABkcnMvZG93bnJldi54bWxQSwECFAAUAAAACACH&#10;TuJAYdZaFrYBAABnAwAADgAAAAAAAAABACAAAAAjAQAAZHJzL2Uyb0RvYy54bWxQSwUGAAAAAAYA&#10;BgBZAQAASwUAAAAA&#10;">
              <v:fill on="f" focussize="0,0"/>
              <v:stroke on="f"/>
              <v:imagedata o:title=""/>
              <o:lock v:ext="edit" aspectratio="f"/>
              <v:textbox inset="0mm,0mm,0mm,0mm">
                <w:txbxContent>
                  <w:p w14:paraId="26F665CD">
                    <w:pPr>
                      <w:pStyle w:val="21"/>
                      <w:tabs>
                        <w:tab w:val="center" w:pos="4153"/>
                        <w:tab w:val="right" w:pos="8306"/>
                      </w:tabs>
                      <w:ind w:right="231" w:rightChars="110"/>
                      <w:rPr>
                        <w:rFonts w:ascii="宋体" w:hAnsi="宋体" w:cs="宋体"/>
                      </w:rPr>
                    </w:pP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13</w:t>
                    </w:r>
                    <w:r>
                      <w:rPr>
                        <w:rFonts w:hint="eastAsia" w:ascii="宋体" w:hAnsi="宋体" w:cs="宋体"/>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97D14">
    <w:pPr>
      <w:pStyle w:val="21"/>
      <w:tabs>
        <w:tab w:val="center" w:pos="4153"/>
        <w:tab w:val="right" w:pos="8306"/>
      </w:tabs>
    </w:pPr>
    <w:r>
      <mc:AlternateContent>
        <mc:Choice Requires="wps">
          <w:drawing>
            <wp:anchor distT="0" distB="0" distL="114300" distR="114300" simplePos="0" relativeHeight="251673600" behindDoc="0" locked="0" layoutInCell="1" allowOverlap="1">
              <wp:simplePos x="0" y="0"/>
              <wp:positionH relativeFrom="margin">
                <wp:align>outside</wp:align>
              </wp:positionH>
              <wp:positionV relativeFrom="paragraph">
                <wp:posOffset>0</wp:posOffset>
              </wp:positionV>
              <wp:extent cx="493395" cy="136525"/>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493395" cy="136525"/>
                      </a:xfrm>
                      <a:prstGeom prst="rect">
                        <a:avLst/>
                      </a:prstGeom>
                      <a:noFill/>
                      <a:ln>
                        <a:noFill/>
                      </a:ln>
                    </wps:spPr>
                    <wps:txbx>
                      <w:txbxContent>
                        <w:p w14:paraId="0EC93F5C">
                          <w:pPr>
                            <w:pStyle w:val="21"/>
                            <w:tabs>
                              <w:tab w:val="center" w:pos="4153"/>
                              <w:tab w:val="right" w:pos="8306"/>
                            </w:tabs>
                            <w:jc w:val="center"/>
                            <w:rPr>
                              <w:rFonts w:ascii="宋体" w:hAnsi="宋体" w:cs="宋体"/>
                            </w:rPr>
                          </w:pP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12</w:t>
                          </w:r>
                          <w:r>
                            <w:rPr>
                              <w:rFonts w:hint="eastAsia" w:ascii="宋体" w:hAnsi="宋体" w:cs="宋体"/>
                            </w:rPr>
                            <w:fldChar w:fldCharType="end"/>
                          </w:r>
                        </w:p>
                      </w:txbxContent>
                    </wps:txbx>
                    <wps:bodyPr lIns="0" tIns="0" rIns="0" bIns="0">
                      <a:noAutofit/>
                    </wps:bodyPr>
                  </wps:wsp>
                </a:graphicData>
              </a:graphic>
            </wp:anchor>
          </w:drawing>
        </mc:Choice>
        <mc:Fallback>
          <w:pict>
            <v:shape id="_x0000_s1026" o:spid="_x0000_s1026" o:spt="202" type="#_x0000_t202" style="position:absolute;left:0pt;margin-top:0pt;height:10.75pt;width:38.85pt;mso-position-horizontal:outside;mso-position-horizontal-relative:margin;z-index:251673600;mso-width-relative:page;mso-height-relative:page;" filled="f" stroked="f" coordsize="21600,21600" o:gfxdata="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7JIGt1AAAAAMBAAAPAAAAAAAAAAEAIAAAACIAAABkcnMvZG93bnJldi54bWxQSwEC&#10;FAAUAAAACACHTuJAHJl36L8BAACBAwAADgAAAAAAAAABACAAAAAjAQAAZHJzL2Uyb0RvYy54bWxQ&#10;SwUGAAAAAAYABgBZAQAAVAUAAAAA&#10;">
              <v:fill on="f" focussize="0,0"/>
              <v:stroke on="f"/>
              <v:imagedata o:title=""/>
              <o:lock v:ext="edit" aspectratio="f"/>
              <v:textbox inset="0mm,0mm,0mm,0mm">
                <w:txbxContent>
                  <w:p w14:paraId="0EC93F5C">
                    <w:pPr>
                      <w:pStyle w:val="21"/>
                      <w:tabs>
                        <w:tab w:val="center" w:pos="4153"/>
                        <w:tab w:val="right" w:pos="8306"/>
                      </w:tabs>
                      <w:jc w:val="center"/>
                      <w:rPr>
                        <w:rFonts w:ascii="宋体" w:hAnsi="宋体" w:cs="宋体"/>
                      </w:rPr>
                    </w:pP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12</w:t>
                    </w:r>
                    <w:r>
                      <w:rPr>
                        <w:rFonts w:hint="eastAsia" w:ascii="宋体" w:hAnsi="宋体" w:cs="宋体"/>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06626">
    <w:pPr>
      <w:pStyle w:val="21"/>
      <w:tabs>
        <w:tab w:val="center" w:pos="4153"/>
        <w:tab w:val="right" w:pos="8306"/>
      </w:tabs>
    </w:pPr>
    <w:r>
      <mc:AlternateContent>
        <mc:Choice Requires="wps">
          <w:drawing>
            <wp:anchor distT="0" distB="0" distL="114300" distR="114300" simplePos="0" relativeHeight="251676672" behindDoc="0" locked="0" layoutInCell="1" allowOverlap="1">
              <wp:simplePos x="0" y="0"/>
              <wp:positionH relativeFrom="margin">
                <wp:align>outside</wp:align>
              </wp:positionH>
              <wp:positionV relativeFrom="paragraph">
                <wp:posOffset>0</wp:posOffset>
              </wp:positionV>
              <wp:extent cx="360045" cy="15494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360045" cy="154940"/>
                      </a:xfrm>
                      <a:prstGeom prst="rect">
                        <a:avLst/>
                      </a:prstGeom>
                      <a:noFill/>
                      <a:ln>
                        <a:noFill/>
                      </a:ln>
                    </wps:spPr>
                    <wps:txbx>
                      <w:txbxContent>
                        <w:p w14:paraId="385AB2FC">
                          <w:pPr>
                            <w:pStyle w:val="21"/>
                            <w:tabs>
                              <w:tab w:val="center" w:pos="4153"/>
                              <w:tab w:val="right" w:pos="8306"/>
                            </w:tabs>
                            <w:ind w:right="231" w:rightChars="110"/>
                            <w:rPr>
                              <w:rFonts w:ascii="宋体" w:hAnsi="宋体" w:cs="宋体"/>
                            </w:rPr>
                          </w:pP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15</w:t>
                          </w:r>
                          <w:r>
                            <w:rPr>
                              <w:rFonts w:hint="eastAsia" w:ascii="宋体" w:hAnsi="宋体" w:cs="宋体"/>
                            </w:rPr>
                            <w:fldChar w:fldCharType="end"/>
                          </w:r>
                        </w:p>
                      </w:txbxContent>
                    </wps:txbx>
                    <wps:bodyPr lIns="0" tIns="0" rIns="0" bIns="0"/>
                  </wps:wsp>
                </a:graphicData>
              </a:graphic>
            </wp:anchor>
          </w:drawing>
        </mc:Choice>
        <mc:Fallback>
          <w:pict>
            <v:shape id="_x0000_s1026" o:spid="_x0000_s1026" o:spt="202" type="#_x0000_t202" style="position:absolute;left:0pt;margin-top:0pt;height:12.2pt;width:28.35pt;mso-position-horizontal:outside;mso-position-horizontal-relative:margin;z-index:251676672;mso-width-relative:page;mso-height-relative:page;" filled="f" stroked="f" coordsize="21600,21600" o:gfxdata="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p&#10;O1OW1AAAAAMBAAAPAAAAAAAAAAEAIAAAACIAAABkcnMvZG93bnJldi54bWxQSwECFAAUAAAACACH&#10;TuJAF5NIK7YBAABnAwAADgAAAAAAAAABACAAAAAjAQAAZHJzL2Uyb0RvYy54bWxQSwUGAAAAAAYA&#10;BgBZAQAASwUAAAAA&#10;">
              <v:fill on="f" focussize="0,0"/>
              <v:stroke on="f"/>
              <v:imagedata o:title=""/>
              <o:lock v:ext="edit" aspectratio="f"/>
              <v:textbox inset="0mm,0mm,0mm,0mm">
                <w:txbxContent>
                  <w:p w14:paraId="385AB2FC">
                    <w:pPr>
                      <w:pStyle w:val="21"/>
                      <w:tabs>
                        <w:tab w:val="center" w:pos="4153"/>
                        <w:tab w:val="right" w:pos="8306"/>
                      </w:tabs>
                      <w:ind w:right="231" w:rightChars="110"/>
                      <w:rPr>
                        <w:rFonts w:ascii="宋体" w:hAnsi="宋体" w:cs="宋体"/>
                      </w:rPr>
                    </w:pP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15</w:t>
                    </w:r>
                    <w:r>
                      <w:rPr>
                        <w:rFonts w:hint="eastAsia" w:ascii="宋体" w:hAnsi="宋体" w:cs="宋体"/>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FB0EB">
    <w:pPr>
      <w:pStyle w:val="21"/>
      <w:tabs>
        <w:tab w:val="center" w:pos="4153"/>
        <w:tab w:val="right" w:pos="8306"/>
      </w:tabs>
    </w:pPr>
    <w:r>
      <mc:AlternateContent>
        <mc:Choice Requires="wps">
          <w:drawing>
            <wp:anchor distT="0" distB="0" distL="114300" distR="114300" simplePos="0" relativeHeight="251675648" behindDoc="0" locked="0" layoutInCell="1" allowOverlap="1">
              <wp:simplePos x="0" y="0"/>
              <wp:positionH relativeFrom="margin">
                <wp:align>outside</wp:align>
              </wp:positionH>
              <wp:positionV relativeFrom="paragraph">
                <wp:posOffset>0</wp:posOffset>
              </wp:positionV>
              <wp:extent cx="493395" cy="136525"/>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493395" cy="136525"/>
                      </a:xfrm>
                      <a:prstGeom prst="rect">
                        <a:avLst/>
                      </a:prstGeom>
                      <a:noFill/>
                      <a:ln>
                        <a:noFill/>
                      </a:ln>
                    </wps:spPr>
                    <wps:txbx>
                      <w:txbxContent>
                        <w:p w14:paraId="68F92459">
                          <w:pPr>
                            <w:pStyle w:val="21"/>
                            <w:tabs>
                              <w:tab w:val="center" w:pos="4153"/>
                              <w:tab w:val="right" w:pos="8306"/>
                            </w:tabs>
                            <w:jc w:val="center"/>
                            <w:rPr>
                              <w:rFonts w:ascii="宋体" w:hAnsi="宋体" w:cs="宋体"/>
                            </w:rPr>
                          </w:pP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14</w:t>
                          </w:r>
                          <w:r>
                            <w:rPr>
                              <w:rFonts w:hint="eastAsia" w:ascii="宋体" w:hAnsi="宋体" w:cs="宋体"/>
                            </w:rPr>
                            <w:fldChar w:fldCharType="end"/>
                          </w:r>
                        </w:p>
                      </w:txbxContent>
                    </wps:txbx>
                    <wps:bodyPr lIns="0" tIns="0" rIns="0" bIns="0">
                      <a:noAutofit/>
                    </wps:bodyPr>
                  </wps:wsp>
                </a:graphicData>
              </a:graphic>
            </wp:anchor>
          </w:drawing>
        </mc:Choice>
        <mc:Fallback>
          <w:pict>
            <v:shape id="_x0000_s1026" o:spid="_x0000_s1026" o:spt="202" type="#_x0000_t202" style="position:absolute;left:0pt;margin-top:0pt;height:10.75pt;width:38.85pt;mso-position-horizontal:outside;mso-position-horizontal-relative:margin;z-index:251675648;mso-width-relative:page;mso-height-relative:page;" filled="f" stroked="f" coordsize="21600,21600" o:gfxdata="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7JIGt1AAAAAMBAAAPAAAAAAAAAAEAIAAAACIAAABkcnMvZG93bnJldi54bWxQSwEC&#10;FAAUAAAACACHTuJAzLi+7b8BAACBAwAADgAAAAAAAAABACAAAAAjAQAAZHJzL2Uyb0RvYy54bWxQ&#10;SwUGAAAAAAYABgBZAQAAVAUAAAAA&#10;">
              <v:fill on="f" focussize="0,0"/>
              <v:stroke on="f"/>
              <v:imagedata o:title=""/>
              <o:lock v:ext="edit" aspectratio="f"/>
              <v:textbox inset="0mm,0mm,0mm,0mm">
                <w:txbxContent>
                  <w:p w14:paraId="68F92459">
                    <w:pPr>
                      <w:pStyle w:val="21"/>
                      <w:tabs>
                        <w:tab w:val="center" w:pos="4153"/>
                        <w:tab w:val="right" w:pos="8306"/>
                      </w:tabs>
                      <w:jc w:val="center"/>
                      <w:rPr>
                        <w:rFonts w:ascii="宋体" w:hAnsi="宋体" w:cs="宋体"/>
                      </w:rPr>
                    </w:pP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14</w:t>
                    </w:r>
                    <w:r>
                      <w:rPr>
                        <w:rFonts w:hint="eastAsia" w:ascii="宋体" w:hAnsi="宋体" w:cs="宋体"/>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9AA12">
    <w:pPr>
      <w:pStyle w:val="21"/>
      <w:tabs>
        <w:tab w:val="center" w:pos="4153"/>
        <w:tab w:val="right" w:pos="8306"/>
      </w:tabs>
    </w:pPr>
    <w:r>
      <mc:AlternateContent>
        <mc:Choice Requires="wps">
          <w:drawing>
            <wp:anchor distT="0" distB="0" distL="114300" distR="114300" simplePos="0" relativeHeight="251739136" behindDoc="0" locked="0" layoutInCell="1" allowOverlap="1">
              <wp:simplePos x="0" y="0"/>
              <wp:positionH relativeFrom="margin">
                <wp:align>outside</wp:align>
              </wp:positionH>
              <wp:positionV relativeFrom="paragraph">
                <wp:posOffset>0</wp:posOffset>
              </wp:positionV>
              <wp:extent cx="493395" cy="136525"/>
              <wp:effectExtent l="0" t="0" r="0" b="0"/>
              <wp:wrapNone/>
              <wp:docPr id="25" name="文本框 15"/>
              <wp:cNvGraphicFramePr/>
              <a:graphic xmlns:a="http://schemas.openxmlformats.org/drawingml/2006/main">
                <a:graphicData uri="http://schemas.microsoft.com/office/word/2010/wordprocessingShape">
                  <wps:wsp>
                    <wps:cNvSpPr txBox="1"/>
                    <wps:spPr>
                      <a:xfrm>
                        <a:off x="0" y="0"/>
                        <a:ext cx="493395" cy="136525"/>
                      </a:xfrm>
                      <a:prstGeom prst="rect">
                        <a:avLst/>
                      </a:prstGeom>
                      <a:noFill/>
                      <a:ln>
                        <a:noFill/>
                      </a:ln>
                    </wps:spPr>
                    <wps:txbx>
                      <w:txbxContent>
                        <w:p w14:paraId="15EA6B7B">
                          <w:pPr>
                            <w:pStyle w:val="21"/>
                            <w:tabs>
                              <w:tab w:val="center" w:pos="4153"/>
                              <w:tab w:val="right" w:pos="8306"/>
                            </w:tabs>
                            <w:jc w:val="center"/>
                            <w:rPr>
                              <w:rFonts w:hAnsi="宋体" w:cs="宋体"/>
                            </w:rPr>
                          </w:pPr>
                          <w:r>
                            <w:rPr>
                              <w:rFonts w:hint="eastAsia" w:hAnsi="宋体" w:cs="宋体"/>
                            </w:rPr>
                            <w:fldChar w:fldCharType="begin"/>
                          </w:r>
                          <w:r>
                            <w:rPr>
                              <w:rFonts w:hint="eastAsia" w:hAnsi="宋体" w:cs="宋体"/>
                            </w:rPr>
                            <w:instrText xml:space="preserve"> PAGE  \* MERGEFORMAT </w:instrText>
                          </w:r>
                          <w:r>
                            <w:rPr>
                              <w:rFonts w:hint="eastAsia" w:hAnsi="宋体" w:cs="宋体"/>
                            </w:rPr>
                            <w:fldChar w:fldCharType="separate"/>
                          </w:r>
                          <w:r>
                            <w:rPr>
                              <w:rFonts w:hAnsi="宋体" w:cs="宋体"/>
                            </w:rPr>
                            <w:t>6</w:t>
                          </w:r>
                          <w:r>
                            <w:rPr>
                              <w:rFonts w:hint="eastAsia" w:hAnsi="宋体" w:cs="宋体"/>
                            </w:rPr>
                            <w:fldChar w:fldCharType="end"/>
                          </w:r>
                        </w:p>
                      </w:txbxContent>
                    </wps:txbx>
                    <wps:bodyPr lIns="0" tIns="0" rIns="0" bIns="0" upright="1"/>
                  </wps:wsp>
                </a:graphicData>
              </a:graphic>
            </wp:anchor>
          </w:drawing>
        </mc:Choice>
        <mc:Fallback>
          <w:pict>
            <v:shape id="文本框 15" o:spid="_x0000_s1026" o:spt="202" type="#_x0000_t202" style="position:absolute;left:0pt;margin-top:0pt;height:10.75pt;width:38.85pt;mso-position-horizontal:outside;mso-position-horizontal-relative:margin;z-index:251739136;mso-width-relative:page;mso-height-relative:page;" filled="f" stroked="f" coordsize="21600,21600" o:gfxdata="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7JIGt1AAAAAMBAAAPAAAAAAAAAAEAIAAAACIAAABkcnMvZG93bnJldi54bWxQSwECFAAU&#10;AAAACACHTuJAxkSym7wBAABzAwAADgAAAAAAAAABACAAAAAjAQAAZHJzL2Uyb0RvYy54bWxQSwUG&#10;AAAAAAYABgBZAQAAUQUAAAAA&#10;">
              <v:fill on="f" focussize="0,0"/>
              <v:stroke on="f"/>
              <v:imagedata o:title=""/>
              <o:lock v:ext="edit" aspectratio="f"/>
              <v:textbox inset="0mm,0mm,0mm,0mm">
                <w:txbxContent>
                  <w:p w14:paraId="15EA6B7B">
                    <w:pPr>
                      <w:pStyle w:val="21"/>
                      <w:tabs>
                        <w:tab w:val="center" w:pos="4153"/>
                        <w:tab w:val="right" w:pos="8306"/>
                      </w:tabs>
                      <w:jc w:val="center"/>
                      <w:rPr>
                        <w:rFonts w:hAnsi="宋体" w:cs="宋体"/>
                      </w:rPr>
                    </w:pPr>
                    <w:r>
                      <w:rPr>
                        <w:rFonts w:hint="eastAsia" w:hAnsi="宋体" w:cs="宋体"/>
                      </w:rPr>
                      <w:fldChar w:fldCharType="begin"/>
                    </w:r>
                    <w:r>
                      <w:rPr>
                        <w:rFonts w:hint="eastAsia" w:hAnsi="宋体" w:cs="宋体"/>
                      </w:rPr>
                      <w:instrText xml:space="preserve"> PAGE  \* MERGEFORMAT </w:instrText>
                    </w:r>
                    <w:r>
                      <w:rPr>
                        <w:rFonts w:hint="eastAsia" w:hAnsi="宋体" w:cs="宋体"/>
                      </w:rPr>
                      <w:fldChar w:fldCharType="separate"/>
                    </w:r>
                    <w:r>
                      <w:rPr>
                        <w:rFonts w:hAnsi="宋体" w:cs="宋体"/>
                      </w:rPr>
                      <w:t>6</w:t>
                    </w:r>
                    <w:r>
                      <w:rPr>
                        <w:rFonts w:hint="eastAsia" w:hAnsi="宋体" w:cs="宋体"/>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C353A">
    <w:pPr>
      <w:pStyle w:val="21"/>
      <w:tabs>
        <w:tab w:val="center" w:pos="4153"/>
        <w:tab w:val="right" w:pos="8306"/>
      </w:tabs>
      <w:jc w:val="cen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3664C">
    <w:pPr>
      <w:pStyle w:val="21"/>
      <w:tabs>
        <w:tab w:val="center" w:pos="4153"/>
        <w:tab w:val="right" w:pos="8306"/>
      </w:tabs>
    </w:pPr>
    <w:r>
      <w:rPr>
        <w:sz w:val="18"/>
      </w:rPr>
      <mc:AlternateContent>
        <mc:Choice Requires="wps">
          <w:drawing>
            <wp:anchor distT="0" distB="0" distL="114300" distR="114300" simplePos="0" relativeHeight="2517350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5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021B08">
                          <w:pPr>
                            <w:pStyle w:val="21"/>
                            <w:tabs>
                              <w:tab w:val="center" w:pos="4153"/>
                              <w:tab w:val="right" w:pos="8306"/>
                            </w:tabs>
                          </w:pPr>
                          <w:r>
                            <w:fldChar w:fldCharType="begin"/>
                          </w:r>
                          <w:r>
                            <w:instrText xml:space="preserve"> PAGE  \* MERGEFORMAT </w:instrText>
                          </w:r>
                          <w:r>
                            <w:fldChar w:fldCharType="separate"/>
                          </w:r>
                          <w:r>
                            <w:t>XIII</w:t>
                          </w:r>
                          <w:r>
                            <w:fldChar w:fldCharType="end"/>
                          </w:r>
                        </w:p>
                      </w:txbxContent>
                    </wps:txbx>
                    <wps:bodyPr wrap="none" lIns="0" tIns="0" rIns="0" bIns="0" upright="0">
                      <a:spAutoFit/>
                    </wps:bodyPr>
                  </wps:wsp>
                </a:graphicData>
              </a:graphic>
            </wp:anchor>
          </w:drawing>
        </mc:Choice>
        <mc:Fallback>
          <w:pict>
            <v:shape id="文本框 13" o:spid="_x0000_s1026" o:spt="202" type="#_x0000_t202" style="position:absolute;left:0pt;margin-top:0pt;height:144pt;width:144pt;mso-position-horizontal:outside;mso-position-horizontal-relative:margin;mso-wrap-style:none;z-index:2517350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bea3OMoBAACbAwAADgAAAAAAAAABACAAAAAeAQAAZHJzL2Uyb0Rv&#10;Yy54bWxQSwUGAAAAAAYABgBZAQAAWgUAAAAA&#10;">
              <v:fill on="f" focussize="0,0"/>
              <v:stroke on="f"/>
              <v:imagedata o:title=""/>
              <o:lock v:ext="edit" aspectratio="f"/>
              <v:textbox inset="0mm,0mm,0mm,0mm" style="mso-fit-shape-to-text:t;">
                <w:txbxContent>
                  <w:p w14:paraId="13021B08">
                    <w:pPr>
                      <w:pStyle w:val="21"/>
                      <w:tabs>
                        <w:tab w:val="center" w:pos="4153"/>
                        <w:tab w:val="right" w:pos="8306"/>
                      </w:tabs>
                    </w:pPr>
                    <w:r>
                      <w:fldChar w:fldCharType="begin"/>
                    </w:r>
                    <w:r>
                      <w:instrText xml:space="preserve"> PAGE  \* MERGEFORMAT </w:instrText>
                    </w:r>
                    <w:r>
                      <w:fldChar w:fldCharType="separate"/>
                    </w:r>
                    <w:r>
                      <w:t>XIII</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FB2D8">
    <w:pPr>
      <w:pStyle w:val="21"/>
      <w:tabs>
        <w:tab w:val="center" w:pos="4153"/>
        <w:tab w:val="right" w:pos="8306"/>
      </w:tabs>
    </w:pPr>
    <w:r>
      <w:rPr>
        <w:sz w:val="18"/>
      </w:rPr>
      <mc:AlternateContent>
        <mc:Choice Requires="wps">
          <w:drawing>
            <wp:anchor distT="0" distB="0" distL="114300" distR="114300" simplePos="0" relativeHeight="2517360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0"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112799">
                          <w:pPr>
                            <w:pStyle w:val="21"/>
                            <w:tabs>
                              <w:tab w:val="center" w:pos="4153"/>
                              <w:tab w:val="right" w:pos="8306"/>
                            </w:tabs>
                          </w:pPr>
                          <w:r>
                            <w:fldChar w:fldCharType="begin"/>
                          </w:r>
                          <w:r>
                            <w:instrText xml:space="preserve"> PAGE  \* MERGEFORMAT </w:instrText>
                          </w:r>
                          <w:r>
                            <w:fldChar w:fldCharType="separate"/>
                          </w:r>
                          <w:r>
                            <w:t>I</w:t>
                          </w:r>
                          <w:r>
                            <w:fldChar w:fldCharType="end"/>
                          </w:r>
                        </w:p>
                      </w:txbxContent>
                    </wps:txbx>
                    <wps:bodyPr wrap="none" lIns="0" tIns="0" rIns="0" bIns="0" upright="0">
                      <a:spAutoFit/>
                    </wps:bodyPr>
                  </wps:wsp>
                </a:graphicData>
              </a:graphic>
            </wp:anchor>
          </w:drawing>
        </mc:Choice>
        <mc:Fallback>
          <w:pict>
            <v:shape id="文本框 14" o:spid="_x0000_s1026" o:spt="202" type="#_x0000_t202" style="position:absolute;left:0pt;margin-top:0pt;height:144pt;width:144pt;mso-position-horizontal:outside;mso-position-horizontal-relative:margin;mso-wrap-style:none;z-index:2517360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vwfTXyQEAAJsDAAAOAAAAAAAAAAEAIAAAAB4BAABkcnMvZTJvRG9j&#10;LnhtbFBLBQYAAAAABgAGAFkBAABZBQAAAAA=&#10;">
              <v:fill on="f" focussize="0,0"/>
              <v:stroke on="f"/>
              <v:imagedata o:title=""/>
              <o:lock v:ext="edit" aspectratio="f"/>
              <v:textbox inset="0mm,0mm,0mm,0mm" style="mso-fit-shape-to-text:t;">
                <w:txbxContent>
                  <w:p w14:paraId="28112799">
                    <w:pPr>
                      <w:pStyle w:val="21"/>
                      <w:tabs>
                        <w:tab w:val="center" w:pos="4153"/>
                        <w:tab w:val="right" w:pos="8306"/>
                      </w:tabs>
                    </w:pPr>
                    <w:r>
                      <w:fldChar w:fldCharType="begin"/>
                    </w:r>
                    <w:r>
                      <w:instrText xml:space="preserve"> PAGE  \* MERGEFORMAT </w:instrText>
                    </w:r>
                    <w:r>
                      <w:fldChar w:fldCharType="separate"/>
                    </w:r>
                    <w:r>
                      <w:t>I</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5E588">
    <w:pPr>
      <w:pStyle w:val="80"/>
    </w:pPr>
    <w:r>
      <w:t xml:space="preserve">SY/T </w:t>
    </w:r>
    <w:r>
      <w:rPr>
        <w:rFonts w:hint="eastAsia"/>
      </w:rPr>
      <w:t>6777</w:t>
    </w:r>
    <w:r>
      <w:t>—2</w:t>
    </w:r>
    <w:r>
      <w:rPr>
        <w:rFonts w:hint="eastAsia"/>
      </w:rPr>
      <w:t>016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1CF7E">
    <w:pPr>
      <w:jc w:val="right"/>
      <w:rPr>
        <w:bCs/>
      </w:rPr>
    </w:pPr>
    <w:r>
      <w:rPr>
        <w:rFonts w:hint="eastAsia" w:ascii="黑体" w:eastAsia="黑体"/>
        <w:bCs/>
        <w:szCs w:val="20"/>
      </w:rPr>
      <w:t>AQ XXXX—20</w:t>
    </w:r>
    <w:r>
      <w:rPr>
        <w:rFonts w:ascii="黑体" w:eastAsia="黑体"/>
        <w:bCs/>
        <w:szCs w:val="20"/>
      </w:rPr>
      <w:t>2</w:t>
    </w:r>
    <w:r>
      <w:rPr>
        <w:rFonts w:hint="eastAsia" w:ascii="黑体" w:eastAsia="黑体"/>
        <w:bCs/>
        <w:szCs w:val="20"/>
      </w:rPr>
      <w:t>X</w:t>
    </w:r>
  </w:p>
  <w:p w14:paraId="099716FE">
    <w:pPr>
      <w:pStyle w:val="22"/>
      <w:spacing w:line="100" w:lineRule="exac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C4F6A">
    <w:pPr>
      <w:pStyle w:val="80"/>
      <w:spacing w:after="0"/>
      <w:rPr>
        <w:color w:val="auto"/>
      </w:rPr>
    </w:pPr>
    <w:r>
      <w:rPr>
        <w:rFonts w:ascii="Times New Roman"/>
        <w:b/>
        <w:bCs/>
        <w:color w:val="auto"/>
      </w:rPr>
      <w:t>AQ</w:t>
    </w:r>
    <w:r>
      <w:rPr>
        <w:rFonts w:hint="eastAsia"/>
        <w:color w:val="auto"/>
      </w:rPr>
      <w:t xml:space="preserve"> XXXX—202X</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380B0">
    <w:pPr>
      <w:jc w:val="left"/>
    </w:pPr>
    <w:r>
      <w:rPr>
        <w:rFonts w:eastAsia="黑体"/>
        <w:b/>
        <w:szCs w:val="20"/>
      </w:rPr>
      <w:t>AQ</w:t>
    </w:r>
    <w:r>
      <w:rPr>
        <w:rFonts w:hint="eastAsia" w:ascii="黑体" w:eastAsia="黑体"/>
        <w:bCs/>
        <w:szCs w:val="20"/>
      </w:rPr>
      <w:t xml:space="preserve"> </w:t>
    </w:r>
    <w:r>
      <w:rPr>
        <w:rFonts w:hint="eastAsia" w:ascii="黑体" w:hAnsi="黑体" w:eastAsia="黑体" w:cs="黑体"/>
        <w:bCs/>
        <w:szCs w:val="20"/>
      </w:rPr>
      <w:t>XXXX—202X</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E9128">
    <w:pPr>
      <w:pStyle w:val="80"/>
      <w:spacing w:after="0"/>
      <w:rPr>
        <w:rFonts w:hint="eastAsia" w:ascii="宋体" w:hAnsi="宋体" w:eastAsia="宋体" w:cs="宋体"/>
      </w:rPr>
    </w:pPr>
    <w:r>
      <w:rPr>
        <w:rFonts w:hint="eastAsia" w:ascii="宋体" w:hAnsi="宋体" w:eastAsia="宋体" w:cs="宋体"/>
        <w:b/>
        <w:bCs/>
      </w:rPr>
      <w:t>AQ</w:t>
    </w:r>
    <w:r>
      <w:rPr>
        <w:rFonts w:hint="eastAsia" w:ascii="宋体" w:hAnsi="宋体" w:eastAsia="宋体" w:cs="宋体"/>
      </w:rPr>
      <w:t xml:space="preserve"> XXXX—202X</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B5C52">
    <w:pPr>
      <w:jc w:val="left"/>
      <w:rPr>
        <w:rFonts w:hint="eastAsia" w:ascii="宋体" w:hAnsi="宋体" w:eastAsia="宋体" w:cs="宋体"/>
      </w:rPr>
    </w:pPr>
    <w:r>
      <w:rPr>
        <w:rFonts w:hint="eastAsia" w:ascii="宋体" w:hAnsi="宋体" w:eastAsia="宋体" w:cs="宋体"/>
        <w:b/>
        <w:szCs w:val="20"/>
      </w:rPr>
      <w:t>AQ</w:t>
    </w:r>
    <w:r>
      <w:rPr>
        <w:rFonts w:hint="eastAsia" w:ascii="宋体" w:hAnsi="宋体" w:eastAsia="宋体" w:cs="宋体"/>
        <w:bCs/>
        <w:szCs w:val="20"/>
      </w:rPr>
      <w:t xml:space="preserve"> XXXX—202X</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A4A32">
    <w:pPr>
      <w:pStyle w:val="22"/>
      <w:pBdr>
        <w:bottom w:val="none" w:color="auto" w:sz="0" w:space="1"/>
      </w:pBdr>
      <w:tabs>
        <w:tab w:val="center" w:pos="4153"/>
        <w:tab w:val="right" w:pos="8306"/>
      </w:tabs>
      <w:autoSpaceDE w:val="0"/>
      <w:autoSpaceDN w:val="0"/>
      <w:adjustRightInd w:val="0"/>
      <w:spacing w:after="284"/>
      <w:jc w:val="right"/>
      <w:rPr>
        <w:lang w:eastAsia="en-US"/>
      </w:rPr>
    </w:pPr>
    <w:r>
      <w:rPr>
        <w:rFonts w:hint="eastAsia" w:ascii="宋体" w:hAnsi="宋体" w:eastAsia="宋体" w:cs="宋体"/>
        <w:b/>
        <w:bCs/>
        <w:sz w:val="21"/>
        <w:szCs w:val="21"/>
        <w:lang w:eastAsia="en-US"/>
      </w:rPr>
      <w:t xml:space="preserve">AQ </w:t>
    </w:r>
    <w:r>
      <w:rPr>
        <w:rFonts w:hint="eastAsia" w:ascii="宋体" w:hAnsi="宋体" w:eastAsia="宋体" w:cs="宋体"/>
        <w:sz w:val="21"/>
        <w:szCs w:val="21"/>
        <w:lang w:eastAsia="en-US"/>
      </w:rPr>
      <w:t>XXXX—202X</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26BC0">
    <w:pPr>
      <w:pStyle w:val="22"/>
      <w:pBdr>
        <w:bottom w:val="none" w:color="auto" w:sz="0" w:space="1"/>
      </w:pBdr>
      <w:tabs>
        <w:tab w:val="center" w:pos="4153"/>
        <w:tab w:val="right" w:pos="8306"/>
      </w:tabs>
      <w:autoSpaceDE w:val="0"/>
      <w:autoSpaceDN w:val="0"/>
      <w:adjustRightInd w:val="0"/>
      <w:spacing w:after="284"/>
      <w:rPr>
        <w:rFonts w:hint="eastAsia" w:ascii="宋体" w:hAnsi="宋体" w:eastAsia="宋体" w:cs="宋体"/>
        <w:sz w:val="21"/>
        <w:szCs w:val="21"/>
        <w:lang w:eastAsia="en-US"/>
      </w:rPr>
    </w:pPr>
    <w:r>
      <w:rPr>
        <w:rFonts w:hint="eastAsia" w:ascii="宋体" w:hAnsi="宋体" w:eastAsia="宋体" w:cs="宋体"/>
        <w:b/>
        <w:bCs/>
        <w:sz w:val="21"/>
        <w:szCs w:val="21"/>
        <w:lang w:eastAsia="en-US"/>
      </w:rPr>
      <w:t>AQ</w:t>
    </w:r>
    <w:r>
      <w:rPr>
        <w:rFonts w:hint="eastAsia" w:ascii="宋体" w:hAnsi="宋体" w:eastAsia="宋体" w:cs="宋体"/>
        <w:sz w:val="21"/>
        <w:szCs w:val="21"/>
        <w:lang w:eastAsia="en-US"/>
      </w:rPr>
      <w:t xml:space="preserve"> XXXX—202X</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5F849">
    <w:pPr>
      <w:pStyle w:val="22"/>
      <w:pBdr>
        <w:bottom w:val="none" w:color="auto" w:sz="0" w:space="1"/>
      </w:pBdr>
      <w:tabs>
        <w:tab w:val="center" w:pos="4153"/>
        <w:tab w:val="right" w:pos="8306"/>
      </w:tabs>
      <w:autoSpaceDE w:val="0"/>
      <w:autoSpaceDN w:val="0"/>
      <w:adjustRightInd w:val="0"/>
      <w:spacing w:after="284"/>
      <w:jc w:val="right"/>
      <w:rPr>
        <w:lang w:eastAsia="en-US"/>
      </w:rPr>
    </w:pPr>
    <w:r>
      <w:rPr>
        <w:rFonts w:hint="eastAsia" w:ascii="宋体" w:hAnsi="宋体" w:eastAsia="宋体" w:cs="宋体"/>
        <w:b/>
        <w:bCs/>
        <w:sz w:val="21"/>
        <w:szCs w:val="21"/>
        <w:lang w:eastAsia="en-US"/>
      </w:rPr>
      <w:t>AQ</w:t>
    </w:r>
    <w:r>
      <w:rPr>
        <w:rFonts w:hint="eastAsia" w:ascii="宋体" w:hAnsi="宋体" w:eastAsia="宋体" w:cs="宋体"/>
        <w:sz w:val="21"/>
        <w:szCs w:val="21"/>
        <w:lang w:eastAsia="en-US"/>
      </w:rPr>
      <w:t xml:space="preserve"> XXXX—202X</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DA435">
    <w:pPr>
      <w:pStyle w:val="22"/>
      <w:pBdr>
        <w:bottom w:val="none" w:color="auto" w:sz="0" w:space="1"/>
      </w:pBdr>
      <w:tabs>
        <w:tab w:val="center" w:pos="4153"/>
        <w:tab w:val="right" w:pos="8306"/>
      </w:tabs>
      <w:autoSpaceDE w:val="0"/>
      <w:autoSpaceDN w:val="0"/>
      <w:adjustRightInd w:val="0"/>
      <w:spacing w:after="284"/>
      <w:rPr>
        <w:rFonts w:hint="eastAsia" w:ascii="宋体" w:hAnsi="宋体" w:eastAsia="宋体" w:cs="宋体"/>
        <w:sz w:val="21"/>
        <w:szCs w:val="21"/>
        <w:lang w:eastAsia="en-US"/>
      </w:rPr>
    </w:pPr>
    <w:r>
      <w:rPr>
        <w:rFonts w:hint="eastAsia" w:ascii="宋体" w:hAnsi="宋体" w:eastAsia="宋体" w:cs="宋体"/>
        <w:b/>
        <w:bCs/>
        <w:sz w:val="21"/>
        <w:szCs w:val="21"/>
        <w:lang w:eastAsia="en-US"/>
      </w:rPr>
      <w:t>AQ</w:t>
    </w:r>
    <w:r>
      <w:rPr>
        <w:rFonts w:hint="eastAsia" w:ascii="宋体" w:hAnsi="宋体" w:eastAsia="宋体" w:cs="宋体"/>
        <w:sz w:val="21"/>
        <w:szCs w:val="21"/>
        <w:lang w:eastAsia="en-US"/>
      </w:rPr>
      <w:t xml:space="preserve"> XXXX—202X</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95AC7">
    <w:pPr>
      <w:pStyle w:val="22"/>
      <w:pBdr>
        <w:bottom w:val="none" w:color="auto" w:sz="0" w:space="1"/>
      </w:pBdr>
      <w:tabs>
        <w:tab w:val="center" w:pos="4153"/>
        <w:tab w:val="right" w:pos="8306"/>
      </w:tabs>
      <w:autoSpaceDE w:val="0"/>
      <w:autoSpaceDN w:val="0"/>
      <w:adjustRightInd w:val="0"/>
      <w:spacing w:after="284"/>
      <w:jc w:val="right"/>
      <w:rPr>
        <w:lang w:eastAsia="en-US"/>
      </w:rPr>
    </w:pPr>
    <w:r>
      <w:rPr>
        <w:rFonts w:hint="eastAsia" w:ascii="宋体" w:hAnsi="宋体" w:eastAsia="宋体" w:cs="宋体"/>
        <w:b/>
        <w:bCs/>
        <w:sz w:val="21"/>
        <w:szCs w:val="21"/>
        <w:lang w:eastAsia="en-US"/>
      </w:rPr>
      <w:t>AQ</w:t>
    </w:r>
    <w:r>
      <w:rPr>
        <w:rFonts w:hint="eastAsia" w:ascii="宋体" w:hAnsi="宋体" w:eastAsia="宋体" w:cs="宋体"/>
        <w:sz w:val="21"/>
        <w:szCs w:val="21"/>
        <w:lang w:eastAsia="en-US"/>
      </w:rPr>
      <w:t xml:space="preserve"> XXXX—202X</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B6FA4">
    <w:pPr>
      <w:pStyle w:val="22"/>
      <w:pBdr>
        <w:bottom w:val="none" w:color="auto" w:sz="0" w:space="1"/>
      </w:pBdr>
      <w:tabs>
        <w:tab w:val="center" w:pos="4153"/>
        <w:tab w:val="right" w:pos="8306"/>
      </w:tabs>
      <w:autoSpaceDE w:val="0"/>
      <w:autoSpaceDN w:val="0"/>
      <w:adjustRightInd w:val="0"/>
      <w:spacing w:after="284"/>
      <w:rPr>
        <w:rFonts w:hint="eastAsia" w:ascii="宋体" w:hAnsi="宋体" w:eastAsia="宋体" w:cs="宋体"/>
        <w:sz w:val="21"/>
        <w:szCs w:val="21"/>
        <w:lang w:eastAsia="en-US"/>
      </w:rPr>
    </w:pPr>
    <w:r>
      <w:rPr>
        <w:rFonts w:hint="eastAsia" w:ascii="宋体" w:hAnsi="宋体" w:eastAsia="宋体" w:cs="宋体"/>
        <w:b/>
        <w:bCs/>
        <w:sz w:val="21"/>
        <w:szCs w:val="21"/>
        <w:lang w:eastAsia="en-US"/>
      </w:rPr>
      <w:t>AQ</w:t>
    </w:r>
    <w:r>
      <w:rPr>
        <w:rFonts w:hint="eastAsia" w:ascii="宋体" w:hAnsi="宋体" w:eastAsia="宋体" w:cs="宋体"/>
        <w:sz w:val="21"/>
        <w:szCs w:val="21"/>
        <w:lang w:eastAsia="en-US"/>
      </w:rPr>
      <w:t xml:space="preserve"> XXXX—202X</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BA72A">
    <w:pPr>
      <w:pStyle w:val="22"/>
      <w:tabs>
        <w:tab w:val="center" w:pos="4153"/>
        <w:tab w:val="right" w:pos="8306"/>
      </w:tabs>
      <w:rPr>
        <w:lang w:eastAsia="en-US"/>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BE5F5">
    <w:pPr>
      <w:pStyle w:val="161"/>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2F131">
    <w:pPr>
      <w:pStyle w:val="22"/>
      <w:tabs>
        <w:tab w:val="center" w:pos="4153"/>
        <w:tab w:val="right" w:pos="8306"/>
      </w:tabs>
      <w:rPr>
        <w:lang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9516AE"/>
    <w:multiLevelType w:val="singleLevel"/>
    <w:tmpl w:val="D69516AE"/>
    <w:lvl w:ilvl="0" w:tentative="0">
      <w:start w:val="1"/>
      <w:numFmt w:val="decimal"/>
      <w:lvlText w:val="%1)"/>
      <w:lvlJc w:val="left"/>
      <w:pPr>
        <w:ind w:left="1276" w:hanging="425"/>
      </w:pPr>
      <w:rPr>
        <w:rFonts w:hint="default"/>
      </w:rPr>
    </w:lvl>
  </w:abstractNum>
  <w:abstractNum w:abstractNumId="1">
    <w:nsid w:val="D7CE337F"/>
    <w:multiLevelType w:val="singleLevel"/>
    <w:tmpl w:val="D7CE337F"/>
    <w:lvl w:ilvl="0" w:tentative="0">
      <w:start w:val="2"/>
      <w:numFmt w:val="chineseCounting"/>
      <w:suff w:val="nothing"/>
      <w:lvlText w:val="（%1）"/>
      <w:lvlJc w:val="left"/>
      <w:rPr>
        <w:rFonts w:hint="eastAsia"/>
      </w:rPr>
    </w:lvl>
  </w:abstractNum>
  <w:abstractNum w:abstractNumId="2">
    <w:nsid w:val="E343FF49"/>
    <w:multiLevelType w:val="singleLevel"/>
    <w:tmpl w:val="E343FF49"/>
    <w:lvl w:ilvl="0" w:tentative="0">
      <w:start w:val="1"/>
      <w:numFmt w:val="lowerLetter"/>
      <w:lvlText w:val="%1)"/>
      <w:lvlJc w:val="left"/>
    </w:lvl>
  </w:abstractNum>
  <w:abstractNum w:abstractNumId="3">
    <w:nsid w:val="E80AB651"/>
    <w:multiLevelType w:val="singleLevel"/>
    <w:tmpl w:val="E80AB651"/>
    <w:lvl w:ilvl="0" w:tentative="0">
      <w:start w:val="1"/>
      <w:numFmt w:val="lowerLetter"/>
      <w:lvlText w:val="%1)"/>
      <w:lvlJc w:val="left"/>
    </w:lvl>
  </w:abstractNum>
  <w:abstractNum w:abstractNumId="4">
    <w:nsid w:val="079102AD"/>
    <w:multiLevelType w:val="multilevel"/>
    <w:tmpl w:val="079102AD"/>
    <w:lvl w:ilvl="0" w:tentative="0">
      <w:start w:val="1"/>
      <w:numFmt w:val="decimal"/>
      <w:pStyle w:val="118"/>
      <w:suff w:val="nothing"/>
      <w:lvlText w:val="注%1："/>
      <w:lvlJc w:val="left"/>
      <w:pPr>
        <w:ind w:left="811" w:hanging="448"/>
      </w:pPr>
      <w:rPr>
        <w:rFonts w:hint="eastAsia" w:ascii="黑体" w:eastAsia="黑体"/>
        <w:b w:val="0"/>
        <w:i w:val="0"/>
        <w:sz w:val="18"/>
        <w:lang w:val="en-US"/>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5">
    <w:nsid w:val="09154624"/>
    <w:multiLevelType w:val="multilevel"/>
    <w:tmpl w:val="09154624"/>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6">
    <w:nsid w:val="093C6778"/>
    <w:multiLevelType w:val="multilevel"/>
    <w:tmpl w:val="093C6778"/>
    <w:lvl w:ilvl="0" w:tentative="0">
      <w:start w:val="1"/>
      <w:numFmt w:val="decimal"/>
      <w:pStyle w:val="47"/>
      <w:suff w:val="nothing"/>
      <w:lvlText w:val="示例%1："/>
      <w:lvlJc w:val="left"/>
      <w:pPr>
        <w:ind w:left="0" w:firstLine="397"/>
      </w:pPr>
      <w:rPr>
        <w:rFonts w:hint="eastAsia" w:ascii="黑体" w:eastAsia="黑体"/>
        <w:sz w:val="18"/>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7">
    <w:nsid w:val="0AE367E9"/>
    <w:multiLevelType w:val="multilevel"/>
    <w:tmpl w:val="0AE367E9"/>
    <w:lvl w:ilvl="0" w:tentative="0">
      <w:start w:val="1"/>
      <w:numFmt w:val="none"/>
      <w:pStyle w:val="82"/>
      <w:suff w:val="nothing"/>
      <w:lvlText w:val="%1示例："/>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8">
    <w:nsid w:val="0DDE2B46"/>
    <w:multiLevelType w:val="multilevel"/>
    <w:tmpl w:val="0DDE2B46"/>
    <w:lvl w:ilvl="0" w:tentative="0">
      <w:start w:val="1"/>
      <w:numFmt w:val="lowerLetter"/>
      <w:pStyle w:val="69"/>
      <w:suff w:val="nothing"/>
      <w:lvlText w:val="%1   "/>
      <w:lvlJc w:val="left"/>
      <w:pPr>
        <w:ind w:left="544" w:hanging="181"/>
      </w:pPr>
      <w:rPr>
        <w:rFonts w:hint="eastAsia" w:ascii="宋体" w:eastAsia="宋体"/>
        <w:b w:val="0"/>
        <w:i w:val="0"/>
        <w:sz w:val="18"/>
        <w:vertAlign w:val="superscript"/>
      </w:rPr>
    </w:lvl>
    <w:lvl w:ilvl="1" w:tentative="0">
      <w:start w:val="1"/>
      <w:numFmt w:val="lowerLetter"/>
      <w:lvlText w:val="%2"/>
      <w:lvlJc w:val="left"/>
      <w:pPr>
        <w:tabs>
          <w:tab w:val="left" w:pos="57"/>
        </w:tabs>
        <w:ind w:left="363" w:hanging="363"/>
      </w:pPr>
      <w:rPr>
        <w:rFonts w:hint="eastAsia"/>
      </w:rPr>
    </w:lvl>
    <w:lvl w:ilvl="2" w:tentative="0">
      <w:start w:val="1"/>
      <w:numFmt w:val="lowerRoman"/>
      <w:lvlText w:val="%3."/>
      <w:lvlJc w:val="right"/>
      <w:pPr>
        <w:tabs>
          <w:tab w:val="left" w:pos="57"/>
        </w:tabs>
        <w:ind w:left="363" w:hanging="363"/>
      </w:pPr>
      <w:rPr>
        <w:rFonts w:hint="eastAsia"/>
      </w:rPr>
    </w:lvl>
    <w:lvl w:ilvl="3" w:tentative="0">
      <w:start w:val="1"/>
      <w:numFmt w:val="decimal"/>
      <w:lvlText w:val="%4."/>
      <w:lvlJc w:val="left"/>
      <w:pPr>
        <w:tabs>
          <w:tab w:val="left" w:pos="57"/>
        </w:tabs>
        <w:ind w:left="363" w:hanging="363"/>
      </w:pPr>
      <w:rPr>
        <w:rFonts w:hint="eastAsia"/>
      </w:rPr>
    </w:lvl>
    <w:lvl w:ilvl="4" w:tentative="0">
      <w:start w:val="1"/>
      <w:numFmt w:val="lowerLetter"/>
      <w:lvlText w:val="%5)"/>
      <w:lvlJc w:val="left"/>
      <w:pPr>
        <w:tabs>
          <w:tab w:val="left" w:pos="57"/>
        </w:tabs>
        <w:ind w:left="363" w:hanging="363"/>
      </w:pPr>
      <w:rPr>
        <w:rFonts w:hint="eastAsia"/>
      </w:rPr>
    </w:lvl>
    <w:lvl w:ilvl="5" w:tentative="0">
      <w:start w:val="1"/>
      <w:numFmt w:val="lowerRoman"/>
      <w:lvlText w:val="%6."/>
      <w:lvlJc w:val="right"/>
      <w:pPr>
        <w:tabs>
          <w:tab w:val="left" w:pos="57"/>
        </w:tabs>
        <w:ind w:left="363" w:hanging="363"/>
      </w:pPr>
      <w:rPr>
        <w:rFonts w:hint="eastAsia"/>
      </w:rPr>
    </w:lvl>
    <w:lvl w:ilvl="6" w:tentative="0">
      <w:start w:val="1"/>
      <w:numFmt w:val="decimal"/>
      <w:lvlText w:val="%7."/>
      <w:lvlJc w:val="left"/>
      <w:pPr>
        <w:tabs>
          <w:tab w:val="left" w:pos="57"/>
        </w:tabs>
        <w:ind w:left="363" w:hanging="363"/>
      </w:pPr>
      <w:rPr>
        <w:rFonts w:hint="eastAsia"/>
      </w:rPr>
    </w:lvl>
    <w:lvl w:ilvl="7" w:tentative="0">
      <w:start w:val="1"/>
      <w:numFmt w:val="lowerLetter"/>
      <w:lvlText w:val="%8)"/>
      <w:lvlJc w:val="left"/>
      <w:pPr>
        <w:tabs>
          <w:tab w:val="left" w:pos="57"/>
        </w:tabs>
        <w:ind w:left="363" w:hanging="363"/>
      </w:pPr>
      <w:rPr>
        <w:rFonts w:hint="eastAsia"/>
      </w:rPr>
    </w:lvl>
    <w:lvl w:ilvl="8" w:tentative="0">
      <w:start w:val="1"/>
      <w:numFmt w:val="lowerRoman"/>
      <w:lvlText w:val="%9."/>
      <w:lvlJc w:val="right"/>
      <w:pPr>
        <w:tabs>
          <w:tab w:val="left" w:pos="57"/>
        </w:tabs>
        <w:ind w:left="363" w:hanging="363"/>
      </w:pPr>
      <w:rPr>
        <w:rFonts w:hint="eastAsia"/>
      </w:rPr>
    </w:lvl>
  </w:abstractNum>
  <w:abstractNum w:abstractNumId="9">
    <w:nsid w:val="1C993D59"/>
    <w:multiLevelType w:val="singleLevel"/>
    <w:tmpl w:val="1C993D59"/>
    <w:lvl w:ilvl="0" w:tentative="0">
      <w:start w:val="1"/>
      <w:numFmt w:val="decimal"/>
      <w:lvlText w:val="%1)"/>
      <w:lvlJc w:val="left"/>
      <w:pPr>
        <w:ind w:left="1276" w:hanging="425"/>
      </w:pPr>
      <w:rPr>
        <w:rFonts w:hint="default"/>
      </w:rPr>
    </w:lvl>
  </w:abstractNum>
  <w:abstractNum w:abstractNumId="10">
    <w:nsid w:val="1DBF583A"/>
    <w:multiLevelType w:val="multilevel"/>
    <w:tmpl w:val="1DBF583A"/>
    <w:lvl w:ilvl="0" w:tentative="0">
      <w:start w:val="1"/>
      <w:numFmt w:val="decimal"/>
      <w:pStyle w:val="85"/>
      <w:suff w:val="nothing"/>
      <w:lvlText w:val="注%1："/>
      <w:lvlJc w:val="left"/>
      <w:pPr>
        <w:ind w:left="811" w:hanging="448"/>
      </w:pPr>
      <w:rPr>
        <w:rFonts w:hint="eastAsia" w:ascii="黑体" w:eastAsia="黑体"/>
        <w:b w:val="0"/>
        <w:i w:val="0"/>
        <w:sz w:val="18"/>
        <w:szCs w:val="18"/>
        <w:vertAlign w:val="baseline"/>
      </w:rPr>
    </w:lvl>
    <w:lvl w:ilvl="1" w:tentative="0">
      <w:start w:val="1"/>
      <w:numFmt w:val="lowerLetter"/>
      <w:lvlText w:val="%2)"/>
      <w:lvlJc w:val="left"/>
      <w:pPr>
        <w:tabs>
          <w:tab w:val="left" w:pos="180"/>
        </w:tabs>
        <w:ind w:left="1172" w:hanging="629"/>
      </w:pPr>
      <w:rPr>
        <w:rFonts w:hint="eastAsia"/>
        <w:vertAlign w:val="baseline"/>
      </w:rPr>
    </w:lvl>
    <w:lvl w:ilvl="2" w:tentative="0">
      <w:start w:val="1"/>
      <w:numFmt w:val="lowerRoman"/>
      <w:lvlText w:val="%3."/>
      <w:lvlJc w:val="right"/>
      <w:pPr>
        <w:tabs>
          <w:tab w:val="left" w:pos="180"/>
        </w:tabs>
        <w:ind w:left="1172" w:hanging="629"/>
      </w:pPr>
      <w:rPr>
        <w:rFonts w:hint="eastAsia"/>
        <w:vertAlign w:val="baseline"/>
      </w:rPr>
    </w:lvl>
    <w:lvl w:ilvl="3" w:tentative="0">
      <w:start w:val="1"/>
      <w:numFmt w:val="decimal"/>
      <w:lvlText w:val="%4."/>
      <w:lvlJc w:val="left"/>
      <w:pPr>
        <w:tabs>
          <w:tab w:val="left" w:pos="180"/>
        </w:tabs>
        <w:ind w:left="1172" w:hanging="629"/>
      </w:pPr>
      <w:rPr>
        <w:rFonts w:hint="eastAsia"/>
        <w:vertAlign w:val="baseline"/>
      </w:rPr>
    </w:lvl>
    <w:lvl w:ilvl="4" w:tentative="0">
      <w:start w:val="1"/>
      <w:numFmt w:val="lowerLetter"/>
      <w:lvlText w:val="%5)"/>
      <w:lvlJc w:val="left"/>
      <w:pPr>
        <w:tabs>
          <w:tab w:val="left" w:pos="180"/>
        </w:tabs>
        <w:ind w:left="1172" w:hanging="629"/>
      </w:pPr>
      <w:rPr>
        <w:rFonts w:hint="eastAsia"/>
        <w:vertAlign w:val="baseline"/>
      </w:rPr>
    </w:lvl>
    <w:lvl w:ilvl="5" w:tentative="0">
      <w:start w:val="1"/>
      <w:numFmt w:val="lowerRoman"/>
      <w:lvlText w:val="%6."/>
      <w:lvlJc w:val="right"/>
      <w:pPr>
        <w:tabs>
          <w:tab w:val="left" w:pos="180"/>
        </w:tabs>
        <w:ind w:left="1172" w:hanging="629"/>
      </w:pPr>
      <w:rPr>
        <w:rFonts w:hint="eastAsia"/>
        <w:vertAlign w:val="baseline"/>
      </w:rPr>
    </w:lvl>
    <w:lvl w:ilvl="6" w:tentative="0">
      <w:start w:val="1"/>
      <w:numFmt w:val="decimal"/>
      <w:lvlText w:val="%7."/>
      <w:lvlJc w:val="left"/>
      <w:pPr>
        <w:tabs>
          <w:tab w:val="left" w:pos="180"/>
        </w:tabs>
        <w:ind w:left="1172" w:hanging="629"/>
      </w:pPr>
      <w:rPr>
        <w:rFonts w:hint="eastAsia"/>
        <w:vertAlign w:val="baseline"/>
      </w:rPr>
    </w:lvl>
    <w:lvl w:ilvl="7" w:tentative="0">
      <w:start w:val="1"/>
      <w:numFmt w:val="lowerLetter"/>
      <w:lvlText w:val="%8)"/>
      <w:lvlJc w:val="left"/>
      <w:pPr>
        <w:tabs>
          <w:tab w:val="left" w:pos="180"/>
        </w:tabs>
        <w:ind w:left="1172" w:hanging="629"/>
      </w:pPr>
      <w:rPr>
        <w:rFonts w:hint="eastAsia"/>
        <w:vertAlign w:val="baseline"/>
      </w:rPr>
    </w:lvl>
    <w:lvl w:ilvl="8" w:tentative="0">
      <w:start w:val="1"/>
      <w:numFmt w:val="lowerRoman"/>
      <w:lvlText w:val="%9."/>
      <w:lvlJc w:val="right"/>
      <w:pPr>
        <w:tabs>
          <w:tab w:val="left" w:pos="180"/>
        </w:tabs>
        <w:ind w:left="1172" w:hanging="629"/>
      </w:pPr>
      <w:rPr>
        <w:rFonts w:hint="eastAsia"/>
        <w:vertAlign w:val="baseline"/>
      </w:rPr>
    </w:lvl>
  </w:abstractNum>
  <w:abstractNum w:abstractNumId="11">
    <w:nsid w:val="1EFC6D81"/>
    <w:multiLevelType w:val="singleLevel"/>
    <w:tmpl w:val="1EFC6D81"/>
    <w:lvl w:ilvl="0" w:tentative="0">
      <w:start w:val="1"/>
      <w:numFmt w:val="lowerLetter"/>
      <w:lvlText w:val="%1)"/>
      <w:lvlJc w:val="left"/>
    </w:lvl>
  </w:abstractNum>
  <w:abstractNum w:abstractNumId="12">
    <w:nsid w:val="1FC91163"/>
    <w:multiLevelType w:val="multilevel"/>
    <w:tmpl w:val="1FC91163"/>
    <w:lvl w:ilvl="0" w:tentative="0">
      <w:start w:val="1"/>
      <w:numFmt w:val="decimal"/>
      <w:pStyle w:val="73"/>
      <w:suff w:val="nothing"/>
      <w:lvlText w:val="%1　"/>
      <w:lvlJc w:val="left"/>
      <w:pPr>
        <w:ind w:left="0" w:firstLine="0"/>
      </w:pPr>
      <w:rPr>
        <w:rFonts w:hint="default" w:ascii="宋体" w:hAnsi="宋体" w:eastAsia="宋体" w:cs="宋体"/>
        <w:b/>
        <w:bCs/>
        <w:i w:val="0"/>
        <w:sz w:val="21"/>
        <w:szCs w:val="21"/>
      </w:rPr>
    </w:lvl>
    <w:lvl w:ilvl="1" w:tentative="0">
      <w:start w:val="1"/>
      <w:numFmt w:val="decimal"/>
      <w:suff w:val="nothing"/>
      <w:lvlText w:val="%1.%2　"/>
      <w:lvlJc w:val="left"/>
      <w:pPr>
        <w:ind w:left="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14:shadow w14:blurRad="0" w14:dist="0" w14:dir="0" w14:sx="0" w14:sy="0" w14:kx="0" w14:ky="0" w14:algn="none">
          <w14:srgbClr w14:val="000000"/>
        </w14:shadow>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3">
    <w:nsid w:val="21DD5F6E"/>
    <w:multiLevelType w:val="multilevel"/>
    <w:tmpl w:val="21DD5F6E"/>
    <w:lvl w:ilvl="0" w:tentative="0">
      <w:start w:val="1"/>
      <w:numFmt w:val="decimal"/>
      <w:pStyle w:val="35"/>
      <w:suff w:val="nothing"/>
      <w:lvlText w:val="%1"/>
      <w:lvlJc w:val="left"/>
      <w:pPr>
        <w:ind w:left="0" w:firstLine="0"/>
      </w:pPr>
      <w:rPr>
        <w:rFonts w:hint="eastAsia" w:ascii="黑体" w:hAnsi="黑体" w:eastAsia="黑体" w:cs="Times New Roman"/>
        <w:b w:val="0"/>
        <w:bCs/>
        <w:i w:val="0"/>
        <w:iCs w:val="0"/>
        <w:caps w:val="0"/>
        <w:smallCaps w:val="0"/>
        <w:strike w:val="0"/>
        <w:dstrike w:val="0"/>
        <w:vanish w:val="0"/>
        <w:color w:val="000000"/>
        <w:spacing w:val="0"/>
        <w:position w:val="0"/>
        <w:sz w:val="21"/>
        <w:u w:val="none"/>
        <w:vertAlign w:val="baseline"/>
        <w:lang w:bidi="zh-CN"/>
      </w:rPr>
    </w:lvl>
    <w:lvl w:ilvl="1" w:tentative="0">
      <w:start w:val="1"/>
      <w:numFmt w:val="decimal"/>
      <w:pStyle w:val="5"/>
      <w:isLgl/>
      <w:suff w:val="nothing"/>
      <w:lvlText w:val="%1.%2"/>
      <w:lvlJc w:val="left"/>
      <w:pPr>
        <w:ind w:left="0" w:firstLine="0"/>
      </w:pPr>
      <w:rPr>
        <w:rFonts w:hint="eastAsia" w:ascii="黑体" w:hAnsi="黑体" w:eastAsia="黑体" w:cs="Times New Roman"/>
        <w:b w:val="0"/>
        <w:bCs w:val="0"/>
        <w:i w:val="0"/>
        <w:iCs w:val="0"/>
        <w:caps w:val="0"/>
        <w:smallCaps w:val="0"/>
        <w:strike w:val="0"/>
        <w:dstrike w:val="0"/>
        <w:snapToGrid w:val="0"/>
        <w:vanish w:val="0"/>
        <w:color w:val="000000"/>
        <w:spacing w:val="0"/>
        <w:kern w:val="0"/>
        <w:position w:val="0"/>
        <w:sz w:val="21"/>
        <w:u w:val="none"/>
        <w:vertAlign w:val="baseline"/>
        <w:lang w:bidi="zh-CN"/>
        <w14:shadow w14:blurRad="0" w14:dist="0" w14:dir="0" w14:sx="0" w14:sy="0" w14:kx="0" w14:ky="0" w14:algn="none">
          <w14:srgbClr w14:val="000000"/>
        </w14:shadow>
      </w:rPr>
    </w:lvl>
    <w:lvl w:ilvl="2" w:tentative="0">
      <w:start w:val="1"/>
      <w:numFmt w:val="decimal"/>
      <w:pStyle w:val="6"/>
      <w:isLgl/>
      <w:suff w:val="space"/>
      <w:lvlText w:val="%1.%2.%3"/>
      <w:lvlJc w:val="left"/>
      <w:pPr>
        <w:ind w:left="567" w:hanging="567"/>
      </w:pPr>
      <w:rPr>
        <w:rFonts w:ascii="Times New Roman" w:hAnsi="Times New Roman" w:cs="Times New Roman"/>
        <w:b w:val="0"/>
        <w:bCs w:val="0"/>
        <w:i w:val="0"/>
        <w:iCs w:val="0"/>
        <w:caps w:val="0"/>
        <w:smallCaps w:val="0"/>
        <w:strike w:val="0"/>
        <w:dstrike w:val="0"/>
        <w:vanish w:val="0"/>
        <w:color w:val="000000"/>
        <w:spacing w:val="0"/>
        <w:position w:val="0"/>
        <w:sz w:val="21"/>
        <w:szCs w:val="21"/>
        <w:u w:val="none"/>
        <w:vertAlign w:val="baseline"/>
        <w14:shadow w14:blurRad="0" w14:dist="0" w14:dir="0" w14:sx="0" w14:sy="0" w14:kx="0" w14:ky="0" w14:algn="none">
          <w14:srgbClr w14:val="000000"/>
        </w14:shadow>
      </w:rPr>
    </w:lvl>
    <w:lvl w:ilvl="3" w:tentative="0">
      <w:start w:val="1"/>
      <w:numFmt w:val="decimal"/>
      <w:isLgl/>
      <w:suff w:val="space"/>
      <w:lvlText w:val="%1.%2.%3.%4"/>
      <w:lvlJc w:val="left"/>
      <w:pPr>
        <w:ind w:left="567" w:hanging="567"/>
      </w:pPr>
      <w:rPr>
        <w:rFonts w:hint="eastAsia"/>
      </w:rPr>
    </w:lvl>
    <w:lvl w:ilvl="4" w:tentative="0">
      <w:start w:val="1"/>
      <w:numFmt w:val="decimal"/>
      <w:isLgl/>
      <w:lvlText w:val="%1.%2.%3.%4.%5"/>
      <w:lvlJc w:val="left"/>
      <w:pPr>
        <w:ind w:left="2551" w:hanging="850"/>
      </w:pPr>
      <w:rPr>
        <w:rFonts w:hint="eastAsia"/>
      </w:rPr>
    </w:lvl>
    <w:lvl w:ilvl="5" w:tentative="0">
      <w:start w:val="1"/>
      <w:numFmt w:val="decimal"/>
      <w:isLgl/>
      <w:lvlText w:val="%1.%2.%3.%4.%5.%6"/>
      <w:lvlJc w:val="left"/>
      <w:pPr>
        <w:ind w:left="3260" w:hanging="1134"/>
      </w:pPr>
      <w:rPr>
        <w:rFonts w:hint="eastAsia"/>
      </w:rPr>
    </w:lvl>
    <w:lvl w:ilvl="6" w:tentative="0">
      <w:start w:val="1"/>
      <w:numFmt w:val="decimal"/>
      <w:isLgl/>
      <w:lvlText w:val="%1.%2.%3.%4.%5.%6.%7"/>
      <w:lvlJc w:val="left"/>
      <w:pPr>
        <w:ind w:left="3827" w:hanging="1276"/>
      </w:pPr>
      <w:rPr>
        <w:rFonts w:hint="eastAsia"/>
      </w:rPr>
    </w:lvl>
    <w:lvl w:ilvl="7" w:tentative="0">
      <w:start w:val="1"/>
      <w:numFmt w:val="decimal"/>
      <w:isLgl/>
      <w:lvlText w:val="%1.%2.%3.%4.%5.%6.%7.%8"/>
      <w:lvlJc w:val="left"/>
      <w:pPr>
        <w:ind w:left="4394" w:hanging="1418"/>
      </w:pPr>
      <w:rPr>
        <w:rFonts w:hint="eastAsia"/>
      </w:rPr>
    </w:lvl>
    <w:lvl w:ilvl="8" w:tentative="0">
      <w:start w:val="1"/>
      <w:numFmt w:val="decimal"/>
      <w:isLgl/>
      <w:lvlText w:val="%1.%2.%3.%4.%5.%6.%7.%8.%9"/>
      <w:lvlJc w:val="left"/>
      <w:pPr>
        <w:ind w:left="5102" w:hanging="1700"/>
      </w:pPr>
      <w:rPr>
        <w:rFonts w:hint="eastAsia"/>
      </w:rPr>
    </w:lvl>
  </w:abstractNum>
  <w:abstractNum w:abstractNumId="14">
    <w:nsid w:val="2A8F7113"/>
    <w:multiLevelType w:val="multilevel"/>
    <w:tmpl w:val="2A8F7113"/>
    <w:lvl w:ilvl="0" w:tentative="0">
      <w:start w:val="1"/>
      <w:numFmt w:val="upperLetter"/>
      <w:pStyle w:val="134"/>
      <w:suff w:val="space"/>
      <w:lvlText w:val="%1"/>
      <w:lvlJc w:val="left"/>
      <w:pPr>
        <w:ind w:left="623" w:hanging="425"/>
      </w:pPr>
      <w:rPr>
        <w:rFonts w:hint="eastAsia"/>
      </w:rPr>
    </w:lvl>
    <w:lvl w:ilvl="1" w:tentative="0">
      <w:start w:val="1"/>
      <w:numFmt w:val="decimal"/>
      <w:pStyle w:val="126"/>
      <w:suff w:val="nothing"/>
      <w:lvlText w:val="图%1.%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15">
    <w:nsid w:val="2C5917C3"/>
    <w:multiLevelType w:val="multilevel"/>
    <w:tmpl w:val="2C5917C3"/>
    <w:lvl w:ilvl="0" w:tentative="0">
      <w:start w:val="1"/>
      <w:numFmt w:val="none"/>
      <w:pStyle w:val="157"/>
      <w:suff w:val="nothing"/>
      <w:lvlText w:val="%1——"/>
      <w:lvlJc w:val="left"/>
      <w:pPr>
        <w:ind w:left="833" w:hanging="408"/>
      </w:pPr>
      <w:rPr>
        <w:rFonts w:hint="eastAsia"/>
      </w:rPr>
    </w:lvl>
    <w:lvl w:ilvl="1" w:tentative="0">
      <w:start w:val="1"/>
      <w:numFmt w:val="bullet"/>
      <w:pStyle w:val="101"/>
      <w:lvlText w:val=""/>
      <w:lvlJc w:val="left"/>
      <w:pPr>
        <w:tabs>
          <w:tab w:val="left" w:pos="760"/>
        </w:tabs>
        <w:ind w:left="1264" w:hanging="413"/>
      </w:pPr>
      <w:rPr>
        <w:rFonts w:hint="default" w:ascii="Symbol" w:hAnsi="Symbol"/>
        <w:color w:val="auto"/>
      </w:rPr>
    </w:lvl>
    <w:lvl w:ilvl="2" w:tentative="0">
      <w:start w:val="1"/>
      <w:numFmt w:val="bullet"/>
      <w:pStyle w:val="132"/>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6">
    <w:nsid w:val="2D8C9563"/>
    <w:multiLevelType w:val="singleLevel"/>
    <w:tmpl w:val="2D8C9563"/>
    <w:lvl w:ilvl="0" w:tentative="0">
      <w:start w:val="1"/>
      <w:numFmt w:val="lowerLetter"/>
      <w:lvlText w:val="%1)"/>
      <w:lvlJc w:val="left"/>
      <w:pPr>
        <w:tabs>
          <w:tab w:val="left" w:pos="839"/>
        </w:tabs>
        <w:ind w:left="839" w:leftChars="0" w:hanging="419" w:firstLineChars="0"/>
      </w:pPr>
      <w:rPr>
        <w:rFonts w:hint="default"/>
      </w:rPr>
    </w:lvl>
  </w:abstractNum>
  <w:abstractNum w:abstractNumId="17">
    <w:nsid w:val="3D733618"/>
    <w:multiLevelType w:val="multilevel"/>
    <w:tmpl w:val="3D733618"/>
    <w:lvl w:ilvl="0" w:tentative="0">
      <w:start w:val="1"/>
      <w:numFmt w:val="decimal"/>
      <w:pStyle w:val="28"/>
      <w:lvlText w:val="%1)"/>
      <w:lvlJc w:val="left"/>
      <w:pPr>
        <w:tabs>
          <w:tab w:val="left" w:pos="0"/>
        </w:tabs>
        <w:ind w:left="720" w:hanging="357"/>
      </w:pPr>
      <w:rPr>
        <w:rFonts w:hint="eastAsia"/>
      </w:rPr>
    </w:lvl>
    <w:lvl w:ilvl="1" w:tentative="0">
      <w:start w:val="1"/>
      <w:numFmt w:val="lowerLetter"/>
      <w:lvlText w:val="%2)"/>
      <w:lvlJc w:val="left"/>
      <w:pPr>
        <w:tabs>
          <w:tab w:val="left" w:pos="504"/>
        </w:tabs>
        <w:ind w:left="544" w:hanging="544"/>
      </w:pPr>
      <w:rPr>
        <w:rFonts w:hint="eastAsia"/>
      </w:rPr>
    </w:lvl>
    <w:lvl w:ilvl="2" w:tentative="0">
      <w:start w:val="1"/>
      <w:numFmt w:val="lowerRoman"/>
      <w:lvlText w:val="%3."/>
      <w:lvlJc w:val="right"/>
      <w:pPr>
        <w:tabs>
          <w:tab w:val="left" w:pos="532"/>
        </w:tabs>
        <w:ind w:left="544" w:hanging="544"/>
      </w:pPr>
      <w:rPr>
        <w:rFonts w:hint="eastAsia"/>
      </w:rPr>
    </w:lvl>
    <w:lvl w:ilvl="3" w:tentative="0">
      <w:start w:val="1"/>
      <w:numFmt w:val="decimal"/>
      <w:lvlText w:val="%4."/>
      <w:lvlJc w:val="left"/>
      <w:pPr>
        <w:tabs>
          <w:tab w:val="left" w:pos="560"/>
        </w:tabs>
        <w:ind w:left="544" w:hanging="544"/>
      </w:pPr>
      <w:rPr>
        <w:rFonts w:hint="eastAsia"/>
      </w:rPr>
    </w:lvl>
    <w:lvl w:ilvl="4" w:tentative="0">
      <w:start w:val="1"/>
      <w:numFmt w:val="lowerLetter"/>
      <w:lvlText w:val="%5)"/>
      <w:lvlJc w:val="left"/>
      <w:pPr>
        <w:tabs>
          <w:tab w:val="left" w:pos="588"/>
        </w:tabs>
        <w:ind w:left="544" w:hanging="544"/>
      </w:pPr>
      <w:rPr>
        <w:rFonts w:hint="eastAsia"/>
      </w:rPr>
    </w:lvl>
    <w:lvl w:ilvl="5" w:tentative="0">
      <w:start w:val="1"/>
      <w:numFmt w:val="lowerRoman"/>
      <w:lvlText w:val="%6."/>
      <w:lvlJc w:val="right"/>
      <w:pPr>
        <w:tabs>
          <w:tab w:val="left" w:pos="616"/>
        </w:tabs>
        <w:ind w:left="544" w:hanging="544"/>
      </w:pPr>
      <w:rPr>
        <w:rFonts w:hint="eastAsia"/>
      </w:rPr>
    </w:lvl>
    <w:lvl w:ilvl="6" w:tentative="0">
      <w:start w:val="1"/>
      <w:numFmt w:val="decimal"/>
      <w:lvlText w:val="%7."/>
      <w:lvlJc w:val="left"/>
      <w:pPr>
        <w:tabs>
          <w:tab w:val="left" w:pos="644"/>
        </w:tabs>
        <w:ind w:left="544" w:hanging="544"/>
      </w:pPr>
      <w:rPr>
        <w:rFonts w:hint="eastAsia"/>
      </w:rPr>
    </w:lvl>
    <w:lvl w:ilvl="7" w:tentative="0">
      <w:start w:val="1"/>
      <w:numFmt w:val="lowerLetter"/>
      <w:lvlText w:val="%8)"/>
      <w:lvlJc w:val="left"/>
      <w:pPr>
        <w:tabs>
          <w:tab w:val="left" w:pos="672"/>
        </w:tabs>
        <w:ind w:left="544" w:hanging="544"/>
      </w:pPr>
      <w:rPr>
        <w:rFonts w:hint="eastAsia"/>
      </w:rPr>
    </w:lvl>
    <w:lvl w:ilvl="8" w:tentative="0">
      <w:start w:val="1"/>
      <w:numFmt w:val="lowerRoman"/>
      <w:lvlText w:val="%9."/>
      <w:lvlJc w:val="right"/>
      <w:pPr>
        <w:tabs>
          <w:tab w:val="left" w:pos="700"/>
        </w:tabs>
        <w:ind w:left="544" w:hanging="544"/>
      </w:pPr>
      <w:rPr>
        <w:rFonts w:hint="eastAsia"/>
      </w:rPr>
    </w:lvl>
  </w:abstractNum>
  <w:abstractNum w:abstractNumId="18">
    <w:nsid w:val="44C50F90"/>
    <w:multiLevelType w:val="multilevel"/>
    <w:tmpl w:val="44C50F90"/>
    <w:lvl w:ilvl="0" w:tentative="0">
      <w:start w:val="1"/>
      <w:numFmt w:val="lowerLetter"/>
      <w:pStyle w:val="92"/>
      <w:lvlText w:val="%1)"/>
      <w:lvlJc w:val="left"/>
      <w:pPr>
        <w:tabs>
          <w:tab w:val="left" w:pos="839"/>
        </w:tabs>
        <w:ind w:left="839" w:hanging="419"/>
      </w:pPr>
      <w:rPr>
        <w:rFonts w:hint="eastAsia" w:ascii="宋体" w:hAnsi="宋体" w:eastAsia="宋体"/>
        <w:b w:val="0"/>
        <w:i w:val="0"/>
        <w:sz w:val="20"/>
        <w:szCs w:val="21"/>
      </w:rPr>
    </w:lvl>
    <w:lvl w:ilvl="1" w:tentative="0">
      <w:start w:val="1"/>
      <w:numFmt w:val="decimal"/>
      <w:pStyle w:val="146"/>
      <w:lvlText w:val="%2)"/>
      <w:lvlJc w:val="left"/>
      <w:pPr>
        <w:tabs>
          <w:tab w:val="left" w:pos="1259"/>
        </w:tabs>
        <w:ind w:left="1259" w:hanging="420"/>
      </w:pPr>
      <w:rPr>
        <w:rFonts w:hint="eastAsia" w:ascii="宋体" w:hAnsi="宋体" w:eastAsia="宋体"/>
        <w:b w:val="0"/>
        <w:i w:val="0"/>
        <w:sz w:val="20"/>
      </w:rPr>
    </w:lvl>
    <w:lvl w:ilvl="2" w:tentative="0">
      <w:start w:val="1"/>
      <w:numFmt w:val="decimal"/>
      <w:pStyle w:val="100"/>
      <w:lvlText w:val="(%3)"/>
      <w:lvlJc w:val="left"/>
      <w:pPr>
        <w:tabs>
          <w:tab w:val="left" w:pos="0"/>
        </w:tabs>
        <w:ind w:left="1678" w:hanging="419"/>
      </w:pPr>
      <w:rPr>
        <w:rFonts w:hint="eastAsia" w:ascii="宋体" w:hAnsi="宋体" w:eastAsia="宋体"/>
        <w:b w:val="0"/>
        <w:i w:val="0"/>
        <w:sz w:val="20"/>
        <w:szCs w:val="21"/>
      </w:rPr>
    </w:lvl>
    <w:lvl w:ilvl="3" w:tentative="0">
      <w:start w:val="1"/>
      <w:numFmt w:val="decimal"/>
      <w:lvlText w:val="%4."/>
      <w:lvlJc w:val="left"/>
      <w:pPr>
        <w:tabs>
          <w:tab w:val="left" w:pos="2098"/>
        </w:tabs>
        <w:ind w:left="2098" w:hanging="420"/>
      </w:pPr>
      <w:rPr>
        <w:rFonts w:hint="eastAsia"/>
      </w:rPr>
    </w:lvl>
    <w:lvl w:ilvl="4" w:tentative="0">
      <w:start w:val="1"/>
      <w:numFmt w:val="lowerLetter"/>
      <w:lvlText w:val="%5)"/>
      <w:lvlJc w:val="left"/>
      <w:pPr>
        <w:tabs>
          <w:tab w:val="left" w:pos="2517"/>
        </w:tabs>
        <w:ind w:left="2517" w:hanging="419"/>
      </w:pPr>
      <w:rPr>
        <w:rFonts w:hint="eastAsia"/>
      </w:rPr>
    </w:lvl>
    <w:lvl w:ilvl="5" w:tentative="0">
      <w:start w:val="1"/>
      <w:numFmt w:val="lowerRoman"/>
      <w:lvlText w:val="%6."/>
      <w:lvlJc w:val="right"/>
      <w:pPr>
        <w:tabs>
          <w:tab w:val="left" w:pos="2942"/>
        </w:tabs>
        <w:ind w:left="2937" w:hanging="420"/>
      </w:pPr>
      <w:rPr>
        <w:rFonts w:hint="eastAsia"/>
      </w:rPr>
    </w:lvl>
    <w:lvl w:ilvl="6" w:tentative="0">
      <w:start w:val="1"/>
      <w:numFmt w:val="decimal"/>
      <w:lvlText w:val="%7."/>
      <w:lvlJc w:val="left"/>
      <w:pPr>
        <w:tabs>
          <w:tab w:val="left" w:pos="3362"/>
        </w:tabs>
        <w:ind w:left="3356" w:hanging="414"/>
      </w:pPr>
      <w:rPr>
        <w:rFonts w:hint="eastAsia"/>
      </w:rPr>
    </w:lvl>
    <w:lvl w:ilvl="7" w:tentative="0">
      <w:start w:val="1"/>
      <w:numFmt w:val="lowerLetter"/>
      <w:lvlText w:val="%8)"/>
      <w:lvlJc w:val="left"/>
      <w:pPr>
        <w:tabs>
          <w:tab w:val="left" w:pos="3781"/>
        </w:tabs>
        <w:ind w:left="3776" w:hanging="414"/>
      </w:pPr>
      <w:rPr>
        <w:rFonts w:hint="eastAsia"/>
      </w:rPr>
    </w:lvl>
    <w:lvl w:ilvl="8" w:tentative="0">
      <w:start w:val="1"/>
      <w:numFmt w:val="lowerRoman"/>
      <w:lvlText w:val="%9."/>
      <w:lvlJc w:val="right"/>
      <w:pPr>
        <w:tabs>
          <w:tab w:val="left" w:pos="4201"/>
        </w:tabs>
        <w:ind w:left="4201" w:hanging="420"/>
      </w:pPr>
      <w:rPr>
        <w:rFonts w:hint="eastAsia"/>
      </w:rPr>
    </w:lvl>
  </w:abstractNum>
  <w:abstractNum w:abstractNumId="19">
    <w:nsid w:val="49127703"/>
    <w:multiLevelType w:val="multilevel"/>
    <w:tmpl w:val="49127703"/>
    <w:lvl w:ilvl="0" w:tentative="0">
      <w:start w:val="1"/>
      <w:numFmt w:val="decimal"/>
      <w:lvlText w:val="%1"/>
      <w:lvlJc w:val="left"/>
      <w:pPr>
        <w:tabs>
          <w:tab w:val="left" w:pos="0"/>
        </w:tabs>
        <w:ind w:left="0" w:firstLine="0"/>
      </w:pPr>
      <w:rPr>
        <w:rFonts w:hint="default" w:ascii="Times New Roman" w:hAnsi="Times New Roman" w:cs="Times New Roman"/>
        <w:b w:val="0"/>
      </w:rPr>
    </w:lvl>
    <w:lvl w:ilvl="1" w:tentative="0">
      <w:start w:val="1"/>
      <w:numFmt w:val="lowerLetter"/>
      <w:pStyle w:val="163"/>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4B733A5F"/>
    <w:multiLevelType w:val="multilevel"/>
    <w:tmpl w:val="4B733A5F"/>
    <w:lvl w:ilvl="0" w:tentative="0">
      <w:start w:val="1"/>
      <w:numFmt w:val="decimal"/>
      <w:pStyle w:val="114"/>
      <w:suff w:val="nothing"/>
      <w:lvlText w:val="示例%1："/>
      <w:lvlJc w:val="left"/>
      <w:pPr>
        <w:ind w:left="0" w:firstLine="363"/>
      </w:pPr>
      <w:rPr>
        <w:rFonts w:hint="eastAsia" w:ascii="黑体" w:hAnsi="Times New Roman" w:eastAsia="黑体"/>
        <w:b w:val="0"/>
        <w:i w:val="0"/>
        <w:sz w:val="18"/>
        <w:szCs w:val="18"/>
        <w:vertAlign w:val="baseline"/>
      </w:rPr>
    </w:lvl>
    <w:lvl w:ilvl="1" w:tentative="0">
      <w:start w:val="1"/>
      <w:numFmt w:val="none"/>
      <w:suff w:val="space"/>
      <w:lvlText w:val=""/>
      <w:lvlJc w:val="left"/>
      <w:pPr>
        <w:ind w:left="0" w:firstLine="0"/>
      </w:pPr>
      <w:rPr>
        <w:rFonts w:hint="eastAsia"/>
        <w:vertAlign w:val="baseline"/>
      </w:rPr>
    </w:lvl>
    <w:lvl w:ilvl="2" w:tentative="0">
      <w:start w:val="1"/>
      <w:numFmt w:val="decimal"/>
      <w:suff w:val="space"/>
      <w:lvlText w:val="2.2.%3"/>
      <w:lvlJc w:val="left"/>
      <w:pPr>
        <w:ind w:left="0" w:firstLine="0"/>
      </w:pPr>
      <w:rPr>
        <w:rFonts w:hint="eastAsia"/>
        <w:vertAlign w:val="baseline"/>
      </w:rPr>
    </w:lvl>
    <w:lvl w:ilvl="3" w:tentative="0">
      <w:start w:val="1"/>
      <w:numFmt w:val="decimal"/>
      <w:lvlText w:val="%4."/>
      <w:lvlJc w:val="left"/>
      <w:pPr>
        <w:tabs>
          <w:tab w:val="left" w:pos="0"/>
        </w:tabs>
        <w:ind w:left="992" w:hanging="629"/>
      </w:pPr>
      <w:rPr>
        <w:rFonts w:hint="eastAsia"/>
        <w:vertAlign w:val="baseline"/>
      </w:rPr>
    </w:lvl>
    <w:lvl w:ilvl="4" w:tentative="0">
      <w:start w:val="1"/>
      <w:numFmt w:val="lowerLetter"/>
      <w:lvlText w:val="%5)"/>
      <w:lvlJc w:val="left"/>
      <w:pPr>
        <w:tabs>
          <w:tab w:val="left" w:pos="0"/>
        </w:tabs>
        <w:ind w:left="992" w:hanging="629"/>
      </w:pPr>
      <w:rPr>
        <w:rFonts w:hint="eastAsia"/>
        <w:vertAlign w:val="baseline"/>
      </w:rPr>
    </w:lvl>
    <w:lvl w:ilvl="5" w:tentative="0">
      <w:start w:val="1"/>
      <w:numFmt w:val="lowerRoman"/>
      <w:lvlText w:val="%6."/>
      <w:lvlJc w:val="right"/>
      <w:pPr>
        <w:tabs>
          <w:tab w:val="left" w:pos="0"/>
        </w:tabs>
        <w:ind w:left="992" w:hanging="629"/>
      </w:pPr>
      <w:rPr>
        <w:rFonts w:hint="eastAsia"/>
        <w:vertAlign w:val="baseline"/>
      </w:rPr>
    </w:lvl>
    <w:lvl w:ilvl="6" w:tentative="0">
      <w:start w:val="1"/>
      <w:numFmt w:val="decimal"/>
      <w:lvlText w:val="%7."/>
      <w:lvlJc w:val="left"/>
      <w:pPr>
        <w:tabs>
          <w:tab w:val="left" w:pos="0"/>
        </w:tabs>
        <w:ind w:left="992" w:hanging="629"/>
      </w:pPr>
      <w:rPr>
        <w:rFonts w:hint="eastAsia"/>
        <w:vertAlign w:val="baseline"/>
      </w:rPr>
    </w:lvl>
    <w:lvl w:ilvl="7" w:tentative="0">
      <w:start w:val="1"/>
      <w:numFmt w:val="lowerLetter"/>
      <w:lvlText w:val="%8)"/>
      <w:lvlJc w:val="left"/>
      <w:pPr>
        <w:tabs>
          <w:tab w:val="left" w:pos="0"/>
        </w:tabs>
        <w:ind w:left="992" w:hanging="629"/>
      </w:pPr>
      <w:rPr>
        <w:rFonts w:hint="eastAsia"/>
        <w:vertAlign w:val="baseline"/>
      </w:rPr>
    </w:lvl>
    <w:lvl w:ilvl="8" w:tentative="0">
      <w:start w:val="1"/>
      <w:numFmt w:val="lowerRoman"/>
      <w:lvlText w:val="%9."/>
      <w:lvlJc w:val="right"/>
      <w:pPr>
        <w:tabs>
          <w:tab w:val="left" w:pos="0"/>
        </w:tabs>
        <w:ind w:left="992" w:hanging="629"/>
      </w:pPr>
      <w:rPr>
        <w:rFonts w:hint="eastAsia"/>
        <w:vertAlign w:val="baseline"/>
      </w:rPr>
    </w:lvl>
  </w:abstractNum>
  <w:abstractNum w:abstractNumId="21">
    <w:nsid w:val="4EBF4227"/>
    <w:multiLevelType w:val="multilevel"/>
    <w:tmpl w:val="4EBF4227"/>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2">
    <w:nsid w:val="557C2AF5"/>
    <w:multiLevelType w:val="multilevel"/>
    <w:tmpl w:val="557C2AF5"/>
    <w:lvl w:ilvl="0" w:tentative="0">
      <w:start w:val="1"/>
      <w:numFmt w:val="decimal"/>
      <w:pStyle w:val="51"/>
      <w:suff w:val="nothing"/>
      <w:lvlText w:val="图%1　"/>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3">
    <w:nsid w:val="5603797C"/>
    <w:multiLevelType w:val="multilevel"/>
    <w:tmpl w:val="5603797C"/>
    <w:lvl w:ilvl="0" w:tentative="0">
      <w:start w:val="1"/>
      <w:numFmt w:val="upperLetter"/>
      <w:suff w:val="space"/>
      <w:lvlText w:val="%1"/>
      <w:lvlJc w:val="left"/>
      <w:pPr>
        <w:ind w:left="425" w:hanging="425"/>
      </w:pPr>
      <w:rPr>
        <w:rFonts w:hint="eastAsia"/>
      </w:rPr>
    </w:lvl>
    <w:lvl w:ilvl="1" w:tentative="0">
      <w:start w:val="1"/>
      <w:numFmt w:val="decimal"/>
      <w:pStyle w:val="162"/>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4">
    <w:nsid w:val="5B41298A"/>
    <w:multiLevelType w:val="singleLevel"/>
    <w:tmpl w:val="5B41298A"/>
    <w:lvl w:ilvl="0" w:tentative="0">
      <w:start w:val="19"/>
      <w:numFmt w:val="chineseCounting"/>
      <w:suff w:val="nothing"/>
      <w:lvlText w:val="第%1条　"/>
      <w:lvlJc w:val="left"/>
      <w:rPr>
        <w:rFonts w:hint="eastAsia"/>
      </w:rPr>
    </w:lvl>
  </w:abstractNum>
  <w:abstractNum w:abstractNumId="25">
    <w:nsid w:val="60B55DC2"/>
    <w:multiLevelType w:val="multilevel"/>
    <w:tmpl w:val="60B55DC2"/>
    <w:lvl w:ilvl="0" w:tentative="0">
      <w:start w:val="1"/>
      <w:numFmt w:val="upperLetter"/>
      <w:pStyle w:val="109"/>
      <w:lvlText w:val="%1"/>
      <w:lvlJc w:val="left"/>
      <w:pPr>
        <w:tabs>
          <w:tab w:val="left" w:pos="0"/>
        </w:tabs>
        <w:ind w:left="0" w:hanging="425"/>
      </w:pPr>
      <w:rPr>
        <w:rFonts w:hint="eastAsia"/>
      </w:rPr>
    </w:lvl>
    <w:lvl w:ilvl="1" w:tentative="0">
      <w:start w:val="1"/>
      <w:numFmt w:val="decimal"/>
      <w:pStyle w:val="96"/>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26">
    <w:nsid w:val="646260FA"/>
    <w:multiLevelType w:val="multilevel"/>
    <w:tmpl w:val="646260FA"/>
    <w:lvl w:ilvl="0" w:tentative="0">
      <w:start w:val="1"/>
      <w:numFmt w:val="decimal"/>
      <w:pStyle w:val="164"/>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7">
    <w:nsid w:val="657D3FBC"/>
    <w:multiLevelType w:val="multilevel"/>
    <w:tmpl w:val="657D3FBC"/>
    <w:lvl w:ilvl="0" w:tentative="0">
      <w:start w:val="1"/>
      <w:numFmt w:val="upperLetter"/>
      <w:pStyle w:val="95"/>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pStyle w:val="90"/>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158"/>
      <w:suff w:val="nothing"/>
      <w:lvlText w:val="%1.%2.%3　"/>
      <w:lvlJc w:val="left"/>
      <w:pPr>
        <w:ind w:left="0" w:firstLine="0"/>
      </w:pPr>
      <w:rPr>
        <w:rFonts w:hint="eastAsia" w:ascii="黑体" w:hAnsi="Times New Roman" w:eastAsia="黑体"/>
        <w:b w:val="0"/>
        <w:i w:val="0"/>
        <w:sz w:val="21"/>
      </w:rPr>
    </w:lvl>
    <w:lvl w:ilvl="3" w:tentative="0">
      <w:start w:val="1"/>
      <w:numFmt w:val="decimal"/>
      <w:pStyle w:val="77"/>
      <w:suff w:val="nothing"/>
      <w:lvlText w:val="%1.%2.%3.%4　"/>
      <w:lvlJc w:val="left"/>
      <w:pPr>
        <w:ind w:left="0" w:firstLine="0"/>
      </w:pPr>
      <w:rPr>
        <w:rFonts w:hint="eastAsia" w:ascii="黑体" w:hAnsi="Times New Roman" w:eastAsia="黑体"/>
        <w:b w:val="0"/>
        <w:i w:val="0"/>
        <w:sz w:val="21"/>
      </w:rPr>
    </w:lvl>
    <w:lvl w:ilvl="4" w:tentative="0">
      <w:start w:val="1"/>
      <w:numFmt w:val="decimal"/>
      <w:pStyle w:val="76"/>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8">
    <w:nsid w:val="6615ECD9"/>
    <w:multiLevelType w:val="singleLevel"/>
    <w:tmpl w:val="6615ECD9"/>
    <w:lvl w:ilvl="0" w:tentative="0">
      <w:start w:val="1"/>
      <w:numFmt w:val="lowerLetter"/>
      <w:suff w:val="space"/>
      <w:lvlText w:val="%1）"/>
      <w:lvlJc w:val="left"/>
      <w:pPr>
        <w:tabs>
          <w:tab w:val="left" w:pos="0"/>
        </w:tabs>
      </w:pPr>
      <w:rPr>
        <w:rFonts w:hint="default" w:ascii="宋体" w:hAnsi="宋体" w:eastAsia="宋体" w:cs="宋体"/>
      </w:rPr>
    </w:lvl>
  </w:abstractNum>
  <w:abstractNum w:abstractNumId="29">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154"/>
      <w:suff w:val="nothing"/>
      <w:lvlText w:val="%1%2　"/>
      <w:lvlJc w:val="left"/>
      <w:pPr>
        <w:ind w:left="0" w:firstLine="0"/>
      </w:pPr>
      <w:rPr>
        <w:rFonts w:hint="eastAsia" w:ascii="黑体" w:eastAsia="黑体"/>
        <w:b w:val="0"/>
        <w:i w:val="0"/>
        <w:sz w:val="21"/>
      </w:rPr>
    </w:lvl>
    <w:lvl w:ilvl="2" w:tentative="0">
      <w:start w:val="1"/>
      <w:numFmt w:val="decimal"/>
      <w:pStyle w:val="153"/>
      <w:suff w:val="nothing"/>
      <w:lvlText w:val="%1%2.%3　"/>
      <w:lvlJc w:val="left"/>
      <w:pPr>
        <w:ind w:left="284"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150"/>
      <w:suff w:val="nothing"/>
      <w:lvlText w:val="%1%2.%3.%4　"/>
      <w:lvlJc w:val="left"/>
      <w:pPr>
        <w:ind w:left="1417" w:firstLine="0"/>
      </w:pPr>
      <w:rPr>
        <w:rFonts w:hint="eastAsia" w:ascii="黑体" w:eastAsia="黑体"/>
        <w:b w:val="0"/>
        <w:i w:val="0"/>
        <w:sz w:val="21"/>
      </w:rPr>
    </w:lvl>
    <w:lvl w:ilvl="4" w:tentative="0">
      <w:start w:val="1"/>
      <w:numFmt w:val="decimal"/>
      <w:pStyle w:val="155"/>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0">
    <w:nsid w:val="6D6C07CD"/>
    <w:multiLevelType w:val="multilevel"/>
    <w:tmpl w:val="6D6C07CD"/>
    <w:lvl w:ilvl="0" w:tentative="0">
      <w:start w:val="1"/>
      <w:numFmt w:val="lowerLetter"/>
      <w:pStyle w:val="97"/>
      <w:lvlText w:val="%1)"/>
      <w:lvlJc w:val="left"/>
      <w:pPr>
        <w:tabs>
          <w:tab w:val="left" w:pos="839"/>
        </w:tabs>
        <w:ind w:left="839" w:hanging="419"/>
      </w:pPr>
      <w:rPr>
        <w:rFonts w:hint="eastAsia" w:ascii="宋体" w:eastAsia="宋体"/>
        <w:b w:val="0"/>
        <w:i w:val="0"/>
        <w:sz w:val="21"/>
      </w:rPr>
    </w:lvl>
    <w:lvl w:ilvl="1" w:tentative="0">
      <w:start w:val="1"/>
      <w:numFmt w:val="decimal"/>
      <w:pStyle w:val="86"/>
      <w:lvlText w:val="%2)"/>
      <w:lvlJc w:val="left"/>
      <w:pPr>
        <w:tabs>
          <w:tab w:val="left" w:pos="840"/>
        </w:tabs>
        <w:ind w:left="839" w:hanging="419"/>
      </w:pPr>
      <w:rPr>
        <w:rFonts w:hint="eastAsia" w:ascii="宋体" w:eastAsia="宋体"/>
        <w:b w:val="0"/>
        <w:i w:val="0"/>
        <w:sz w:val="21"/>
      </w:rPr>
    </w:lvl>
    <w:lvl w:ilvl="2" w:tentative="0">
      <w:start w:val="1"/>
      <w:numFmt w:val="lowerRoman"/>
      <w:lvlText w:val="%3."/>
      <w:lvlJc w:val="right"/>
      <w:pPr>
        <w:tabs>
          <w:tab w:val="left" w:pos="1260"/>
        </w:tabs>
        <w:ind w:left="1259" w:hanging="419"/>
      </w:pPr>
      <w:rPr>
        <w:rFonts w:hint="eastAsia"/>
      </w:rPr>
    </w:lvl>
    <w:lvl w:ilvl="3" w:tentative="0">
      <w:start w:val="1"/>
      <w:numFmt w:val="decimal"/>
      <w:lvlText w:val="%4."/>
      <w:lvlJc w:val="left"/>
      <w:pPr>
        <w:tabs>
          <w:tab w:val="left" w:pos="1680"/>
        </w:tabs>
        <w:ind w:left="1679" w:hanging="419"/>
      </w:pPr>
      <w:rPr>
        <w:rFonts w:hint="eastAsia"/>
      </w:rPr>
    </w:lvl>
    <w:lvl w:ilvl="4" w:tentative="0">
      <w:start w:val="1"/>
      <w:numFmt w:val="lowerLetter"/>
      <w:lvlText w:val="%5)"/>
      <w:lvlJc w:val="left"/>
      <w:pPr>
        <w:tabs>
          <w:tab w:val="left" w:pos="2100"/>
        </w:tabs>
        <w:ind w:left="2099" w:hanging="419"/>
      </w:pPr>
      <w:rPr>
        <w:rFonts w:hint="eastAsia"/>
      </w:rPr>
    </w:lvl>
    <w:lvl w:ilvl="5" w:tentative="0">
      <w:start w:val="1"/>
      <w:numFmt w:val="lowerRoman"/>
      <w:lvlText w:val="%6."/>
      <w:lvlJc w:val="right"/>
      <w:pPr>
        <w:tabs>
          <w:tab w:val="left" w:pos="2520"/>
        </w:tabs>
        <w:ind w:left="2519" w:hanging="419"/>
      </w:pPr>
      <w:rPr>
        <w:rFonts w:hint="eastAsia"/>
      </w:rPr>
    </w:lvl>
    <w:lvl w:ilvl="6" w:tentative="0">
      <w:start w:val="1"/>
      <w:numFmt w:val="decimal"/>
      <w:lvlText w:val="%7."/>
      <w:lvlJc w:val="left"/>
      <w:pPr>
        <w:tabs>
          <w:tab w:val="left" w:pos="2940"/>
        </w:tabs>
        <w:ind w:left="2939" w:hanging="419"/>
      </w:pPr>
      <w:rPr>
        <w:rFonts w:hint="eastAsia"/>
      </w:rPr>
    </w:lvl>
    <w:lvl w:ilvl="7" w:tentative="0">
      <w:start w:val="1"/>
      <w:numFmt w:val="lowerLetter"/>
      <w:lvlText w:val="%8)"/>
      <w:lvlJc w:val="left"/>
      <w:pPr>
        <w:tabs>
          <w:tab w:val="left" w:pos="3360"/>
        </w:tabs>
        <w:ind w:left="3359" w:hanging="419"/>
      </w:pPr>
      <w:rPr>
        <w:rFonts w:hint="eastAsia"/>
      </w:rPr>
    </w:lvl>
    <w:lvl w:ilvl="8" w:tentative="0">
      <w:start w:val="1"/>
      <w:numFmt w:val="lowerRoman"/>
      <w:lvlText w:val="%9."/>
      <w:lvlJc w:val="right"/>
      <w:pPr>
        <w:tabs>
          <w:tab w:val="left" w:pos="3780"/>
        </w:tabs>
        <w:ind w:left="3779" w:hanging="419"/>
      </w:pPr>
      <w:rPr>
        <w:rFonts w:hint="eastAsia"/>
      </w:rPr>
    </w:lvl>
  </w:abstractNum>
  <w:num w:numId="1">
    <w:abstractNumId w:val="13"/>
  </w:num>
  <w:num w:numId="2">
    <w:abstractNumId w:val="17"/>
  </w:num>
  <w:num w:numId="3">
    <w:abstractNumId w:val="6"/>
  </w:num>
  <w:num w:numId="4">
    <w:abstractNumId w:val="22"/>
  </w:num>
  <w:num w:numId="5">
    <w:abstractNumId w:val="26"/>
  </w:num>
  <w:num w:numId="6">
    <w:abstractNumId w:val="8"/>
  </w:num>
  <w:num w:numId="7">
    <w:abstractNumId w:val="12"/>
  </w:num>
  <w:num w:numId="8">
    <w:abstractNumId w:val="27"/>
  </w:num>
  <w:num w:numId="9">
    <w:abstractNumId w:val="7"/>
  </w:num>
  <w:num w:numId="10">
    <w:abstractNumId w:val="10"/>
  </w:num>
  <w:num w:numId="11">
    <w:abstractNumId w:val="30"/>
  </w:num>
  <w:num w:numId="12">
    <w:abstractNumId w:val="18"/>
  </w:num>
  <w:num w:numId="13">
    <w:abstractNumId w:val="25"/>
  </w:num>
  <w:num w:numId="14">
    <w:abstractNumId w:val="15"/>
  </w:num>
  <w:num w:numId="15">
    <w:abstractNumId w:val="20"/>
  </w:num>
  <w:num w:numId="16">
    <w:abstractNumId w:val="4"/>
  </w:num>
  <w:num w:numId="17">
    <w:abstractNumId w:val="14"/>
  </w:num>
  <w:num w:numId="18">
    <w:abstractNumId w:val="29"/>
  </w:num>
  <w:num w:numId="19">
    <w:abstractNumId w:val="23"/>
  </w:num>
  <w:num w:numId="20">
    <w:abstractNumId w:val="19"/>
  </w:num>
  <w:num w:numId="21">
    <w:abstractNumId w:val="16"/>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0"/>
  </w:num>
  <w:num w:numId="27">
    <w:abstractNumId w:val="21"/>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
  </w:num>
  <w:num w:numId="41">
    <w:abstractNumId w:val="28"/>
  </w:num>
  <w:num w:numId="42">
    <w:abstractNumId w:val="3"/>
  </w:num>
  <w:num w:numId="43">
    <w:abstractNumId w:val="1"/>
  </w:num>
  <w:num w:numId="4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displayBackgroundShape w:val="1"/>
  <w:mirrorMargin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k5ODM0YmMxOWJiYWQyNDU4MGIzYWRmYTA0ZmI5NDcifQ=="/>
  </w:docVars>
  <w:rsids>
    <w:rsidRoot w:val="008439E9"/>
    <w:rsid w:val="00000244"/>
    <w:rsid w:val="0000185F"/>
    <w:rsid w:val="0000586F"/>
    <w:rsid w:val="0000728D"/>
    <w:rsid w:val="00013D86"/>
    <w:rsid w:val="00013E02"/>
    <w:rsid w:val="0002143C"/>
    <w:rsid w:val="00025A65"/>
    <w:rsid w:val="00026C31"/>
    <w:rsid w:val="00027280"/>
    <w:rsid w:val="000320A7"/>
    <w:rsid w:val="00035925"/>
    <w:rsid w:val="00036B6E"/>
    <w:rsid w:val="00067CDF"/>
    <w:rsid w:val="000746F9"/>
    <w:rsid w:val="00074FBE"/>
    <w:rsid w:val="00083691"/>
    <w:rsid w:val="00083A09"/>
    <w:rsid w:val="0009005E"/>
    <w:rsid w:val="00092857"/>
    <w:rsid w:val="000A20A9"/>
    <w:rsid w:val="000A2222"/>
    <w:rsid w:val="000A48B1"/>
    <w:rsid w:val="000B3143"/>
    <w:rsid w:val="000C6B05"/>
    <w:rsid w:val="000C6DD6"/>
    <w:rsid w:val="000C73D4"/>
    <w:rsid w:val="000D1562"/>
    <w:rsid w:val="000D3D4C"/>
    <w:rsid w:val="000D4F51"/>
    <w:rsid w:val="000D718B"/>
    <w:rsid w:val="000E0C46"/>
    <w:rsid w:val="000F030C"/>
    <w:rsid w:val="000F129C"/>
    <w:rsid w:val="001008A6"/>
    <w:rsid w:val="001056DE"/>
    <w:rsid w:val="00111C39"/>
    <w:rsid w:val="001124C0"/>
    <w:rsid w:val="00131119"/>
    <w:rsid w:val="0013175F"/>
    <w:rsid w:val="001512B4"/>
    <w:rsid w:val="00151F7E"/>
    <w:rsid w:val="001614BE"/>
    <w:rsid w:val="001620A5"/>
    <w:rsid w:val="00164E53"/>
    <w:rsid w:val="0016699D"/>
    <w:rsid w:val="00170FCF"/>
    <w:rsid w:val="00173D9E"/>
    <w:rsid w:val="00175159"/>
    <w:rsid w:val="00176208"/>
    <w:rsid w:val="0018211B"/>
    <w:rsid w:val="001840D3"/>
    <w:rsid w:val="001900F8"/>
    <w:rsid w:val="00191258"/>
    <w:rsid w:val="00192680"/>
    <w:rsid w:val="00192E91"/>
    <w:rsid w:val="00193037"/>
    <w:rsid w:val="00193A2C"/>
    <w:rsid w:val="001A288E"/>
    <w:rsid w:val="001A52E9"/>
    <w:rsid w:val="001B6DC2"/>
    <w:rsid w:val="001B72EF"/>
    <w:rsid w:val="001C149C"/>
    <w:rsid w:val="001C21AC"/>
    <w:rsid w:val="001C47BA"/>
    <w:rsid w:val="001C59EA"/>
    <w:rsid w:val="001C6C66"/>
    <w:rsid w:val="001D406C"/>
    <w:rsid w:val="001D41EE"/>
    <w:rsid w:val="001E0380"/>
    <w:rsid w:val="001E13B1"/>
    <w:rsid w:val="001F3A19"/>
    <w:rsid w:val="0020024F"/>
    <w:rsid w:val="00207038"/>
    <w:rsid w:val="00216989"/>
    <w:rsid w:val="00226D8B"/>
    <w:rsid w:val="00227FD2"/>
    <w:rsid w:val="00234467"/>
    <w:rsid w:val="00237D8D"/>
    <w:rsid w:val="00241DA2"/>
    <w:rsid w:val="00247FEE"/>
    <w:rsid w:val="00250E7D"/>
    <w:rsid w:val="002565D5"/>
    <w:rsid w:val="002622C0"/>
    <w:rsid w:val="002778AE"/>
    <w:rsid w:val="0028269A"/>
    <w:rsid w:val="00283590"/>
    <w:rsid w:val="00286973"/>
    <w:rsid w:val="00294E70"/>
    <w:rsid w:val="00297A33"/>
    <w:rsid w:val="002A0BAF"/>
    <w:rsid w:val="002A1924"/>
    <w:rsid w:val="002A7420"/>
    <w:rsid w:val="002B0F12"/>
    <w:rsid w:val="002B1308"/>
    <w:rsid w:val="002B2986"/>
    <w:rsid w:val="002B4554"/>
    <w:rsid w:val="002C72D8"/>
    <w:rsid w:val="002C733E"/>
    <w:rsid w:val="002D11FA"/>
    <w:rsid w:val="002E0DDF"/>
    <w:rsid w:val="002E2906"/>
    <w:rsid w:val="002E5635"/>
    <w:rsid w:val="002E64C3"/>
    <w:rsid w:val="002E6A2C"/>
    <w:rsid w:val="002F1D8C"/>
    <w:rsid w:val="002F21DA"/>
    <w:rsid w:val="00301F39"/>
    <w:rsid w:val="00320419"/>
    <w:rsid w:val="003233DD"/>
    <w:rsid w:val="00325926"/>
    <w:rsid w:val="00327085"/>
    <w:rsid w:val="00327A8A"/>
    <w:rsid w:val="00331B3B"/>
    <w:rsid w:val="00336610"/>
    <w:rsid w:val="00342586"/>
    <w:rsid w:val="00343F73"/>
    <w:rsid w:val="00345060"/>
    <w:rsid w:val="0035323B"/>
    <w:rsid w:val="003538B2"/>
    <w:rsid w:val="003609D2"/>
    <w:rsid w:val="00363F22"/>
    <w:rsid w:val="00375564"/>
    <w:rsid w:val="00383191"/>
    <w:rsid w:val="00386DED"/>
    <w:rsid w:val="003912E7"/>
    <w:rsid w:val="00393947"/>
    <w:rsid w:val="00394D6B"/>
    <w:rsid w:val="00395AFD"/>
    <w:rsid w:val="003A2275"/>
    <w:rsid w:val="003A6A4F"/>
    <w:rsid w:val="003A7088"/>
    <w:rsid w:val="003B00DF"/>
    <w:rsid w:val="003B1275"/>
    <w:rsid w:val="003B1778"/>
    <w:rsid w:val="003C04C1"/>
    <w:rsid w:val="003C11CB"/>
    <w:rsid w:val="003C75F3"/>
    <w:rsid w:val="003C78A3"/>
    <w:rsid w:val="003E1867"/>
    <w:rsid w:val="003E5729"/>
    <w:rsid w:val="003F2AA1"/>
    <w:rsid w:val="003F4EE0"/>
    <w:rsid w:val="00401194"/>
    <w:rsid w:val="00402153"/>
    <w:rsid w:val="00402FC1"/>
    <w:rsid w:val="00420797"/>
    <w:rsid w:val="00425082"/>
    <w:rsid w:val="00431DEB"/>
    <w:rsid w:val="00446B29"/>
    <w:rsid w:val="004502FA"/>
    <w:rsid w:val="00453F9A"/>
    <w:rsid w:val="00456E68"/>
    <w:rsid w:val="00471E91"/>
    <w:rsid w:val="00474675"/>
    <w:rsid w:val="0047470C"/>
    <w:rsid w:val="00492F41"/>
    <w:rsid w:val="004A35F9"/>
    <w:rsid w:val="004B24C1"/>
    <w:rsid w:val="004C292F"/>
    <w:rsid w:val="00510280"/>
    <w:rsid w:val="00513D73"/>
    <w:rsid w:val="00514A43"/>
    <w:rsid w:val="005174E5"/>
    <w:rsid w:val="00522393"/>
    <w:rsid w:val="00522620"/>
    <w:rsid w:val="00525656"/>
    <w:rsid w:val="00526722"/>
    <w:rsid w:val="00534C02"/>
    <w:rsid w:val="0054264B"/>
    <w:rsid w:val="005434B7"/>
    <w:rsid w:val="00543786"/>
    <w:rsid w:val="0055110A"/>
    <w:rsid w:val="005533D7"/>
    <w:rsid w:val="005703DE"/>
    <w:rsid w:val="0058464E"/>
    <w:rsid w:val="005A01CB"/>
    <w:rsid w:val="005A58FF"/>
    <w:rsid w:val="005A5EAF"/>
    <w:rsid w:val="005A64C0"/>
    <w:rsid w:val="005B3C11"/>
    <w:rsid w:val="005B5B2B"/>
    <w:rsid w:val="005C1C28"/>
    <w:rsid w:val="005C6434"/>
    <w:rsid w:val="005C6DB5"/>
    <w:rsid w:val="005E19E7"/>
    <w:rsid w:val="005E5163"/>
    <w:rsid w:val="005E7848"/>
    <w:rsid w:val="0061374D"/>
    <w:rsid w:val="00613836"/>
    <w:rsid w:val="0061716C"/>
    <w:rsid w:val="006243A1"/>
    <w:rsid w:val="00632E56"/>
    <w:rsid w:val="00635CBA"/>
    <w:rsid w:val="0064338B"/>
    <w:rsid w:val="00646542"/>
    <w:rsid w:val="006504F4"/>
    <w:rsid w:val="00652D5F"/>
    <w:rsid w:val="00654BC9"/>
    <w:rsid w:val="006552FD"/>
    <w:rsid w:val="00663AF3"/>
    <w:rsid w:val="00666AC5"/>
    <w:rsid w:val="00666B6C"/>
    <w:rsid w:val="00676978"/>
    <w:rsid w:val="00682682"/>
    <w:rsid w:val="00682702"/>
    <w:rsid w:val="00683EA6"/>
    <w:rsid w:val="00690DED"/>
    <w:rsid w:val="00692368"/>
    <w:rsid w:val="006A2EBC"/>
    <w:rsid w:val="006A5EA0"/>
    <w:rsid w:val="006A5EF3"/>
    <w:rsid w:val="006A783B"/>
    <w:rsid w:val="006A7B33"/>
    <w:rsid w:val="006B2F50"/>
    <w:rsid w:val="006B4E13"/>
    <w:rsid w:val="006B6072"/>
    <w:rsid w:val="006B75DD"/>
    <w:rsid w:val="006C67E0"/>
    <w:rsid w:val="006C7ABA"/>
    <w:rsid w:val="006D0D60"/>
    <w:rsid w:val="006D1122"/>
    <w:rsid w:val="006D3C00"/>
    <w:rsid w:val="006D7742"/>
    <w:rsid w:val="006E3675"/>
    <w:rsid w:val="006E4A7F"/>
    <w:rsid w:val="00702BF7"/>
    <w:rsid w:val="00704DF6"/>
    <w:rsid w:val="0070651C"/>
    <w:rsid w:val="007072DB"/>
    <w:rsid w:val="00711C26"/>
    <w:rsid w:val="007132A3"/>
    <w:rsid w:val="00716421"/>
    <w:rsid w:val="00724EFB"/>
    <w:rsid w:val="007419C3"/>
    <w:rsid w:val="007467A7"/>
    <w:rsid w:val="007469DD"/>
    <w:rsid w:val="0074741B"/>
    <w:rsid w:val="0074759E"/>
    <w:rsid w:val="007478EA"/>
    <w:rsid w:val="00750070"/>
    <w:rsid w:val="00751FFB"/>
    <w:rsid w:val="0075415C"/>
    <w:rsid w:val="00763502"/>
    <w:rsid w:val="007742DC"/>
    <w:rsid w:val="007757B7"/>
    <w:rsid w:val="007913AB"/>
    <w:rsid w:val="007914F7"/>
    <w:rsid w:val="007B1625"/>
    <w:rsid w:val="007B706E"/>
    <w:rsid w:val="007B71EB"/>
    <w:rsid w:val="007C6205"/>
    <w:rsid w:val="007C686A"/>
    <w:rsid w:val="007C728E"/>
    <w:rsid w:val="007D2C53"/>
    <w:rsid w:val="007D3D60"/>
    <w:rsid w:val="007E1980"/>
    <w:rsid w:val="007E4B76"/>
    <w:rsid w:val="007E5EA8"/>
    <w:rsid w:val="007E6F19"/>
    <w:rsid w:val="007F0CF1"/>
    <w:rsid w:val="007F12A5"/>
    <w:rsid w:val="007F4CF1"/>
    <w:rsid w:val="007F758D"/>
    <w:rsid w:val="007F7D52"/>
    <w:rsid w:val="00800DE9"/>
    <w:rsid w:val="0080654C"/>
    <w:rsid w:val="008071C6"/>
    <w:rsid w:val="00817A00"/>
    <w:rsid w:val="00835DB3"/>
    <w:rsid w:val="0083617B"/>
    <w:rsid w:val="008371BD"/>
    <w:rsid w:val="008439E9"/>
    <w:rsid w:val="008504A8"/>
    <w:rsid w:val="00850CA1"/>
    <w:rsid w:val="0085282E"/>
    <w:rsid w:val="00852A67"/>
    <w:rsid w:val="0086005E"/>
    <w:rsid w:val="00865D39"/>
    <w:rsid w:val="0087198C"/>
    <w:rsid w:val="00872C1F"/>
    <w:rsid w:val="00873B42"/>
    <w:rsid w:val="008856D8"/>
    <w:rsid w:val="00892E82"/>
    <w:rsid w:val="008C1B58"/>
    <w:rsid w:val="008C39AE"/>
    <w:rsid w:val="008C4390"/>
    <w:rsid w:val="008C590D"/>
    <w:rsid w:val="008C5EFD"/>
    <w:rsid w:val="008C6F3E"/>
    <w:rsid w:val="008E031B"/>
    <w:rsid w:val="008E7029"/>
    <w:rsid w:val="008E7EF6"/>
    <w:rsid w:val="008F1F98"/>
    <w:rsid w:val="008F2BC7"/>
    <w:rsid w:val="008F6758"/>
    <w:rsid w:val="009040DD"/>
    <w:rsid w:val="00905B47"/>
    <w:rsid w:val="0091331C"/>
    <w:rsid w:val="00923053"/>
    <w:rsid w:val="009279DE"/>
    <w:rsid w:val="00930116"/>
    <w:rsid w:val="00933E66"/>
    <w:rsid w:val="0094212C"/>
    <w:rsid w:val="00954689"/>
    <w:rsid w:val="00960459"/>
    <w:rsid w:val="009617C9"/>
    <w:rsid w:val="00961C93"/>
    <w:rsid w:val="00965324"/>
    <w:rsid w:val="0097091E"/>
    <w:rsid w:val="009760D3"/>
    <w:rsid w:val="00977132"/>
    <w:rsid w:val="009804A3"/>
    <w:rsid w:val="00981A4B"/>
    <w:rsid w:val="00982501"/>
    <w:rsid w:val="00985848"/>
    <w:rsid w:val="00985B6B"/>
    <w:rsid w:val="009877D3"/>
    <w:rsid w:val="00991986"/>
    <w:rsid w:val="00994E8F"/>
    <w:rsid w:val="009951DC"/>
    <w:rsid w:val="009959BB"/>
    <w:rsid w:val="00997158"/>
    <w:rsid w:val="00997A78"/>
    <w:rsid w:val="009A3A7C"/>
    <w:rsid w:val="009B2ADB"/>
    <w:rsid w:val="009B603A"/>
    <w:rsid w:val="009C2D0E"/>
    <w:rsid w:val="009C3DAC"/>
    <w:rsid w:val="009C42E0"/>
    <w:rsid w:val="009C73B5"/>
    <w:rsid w:val="009D04EA"/>
    <w:rsid w:val="009D1406"/>
    <w:rsid w:val="009D5362"/>
    <w:rsid w:val="009D5AD3"/>
    <w:rsid w:val="009E1415"/>
    <w:rsid w:val="009E6116"/>
    <w:rsid w:val="009F286F"/>
    <w:rsid w:val="009F71AE"/>
    <w:rsid w:val="00A02E43"/>
    <w:rsid w:val="00A065F9"/>
    <w:rsid w:val="00A07F34"/>
    <w:rsid w:val="00A22154"/>
    <w:rsid w:val="00A2219A"/>
    <w:rsid w:val="00A25C38"/>
    <w:rsid w:val="00A265BD"/>
    <w:rsid w:val="00A319EF"/>
    <w:rsid w:val="00A3570B"/>
    <w:rsid w:val="00A36BBE"/>
    <w:rsid w:val="00A373DC"/>
    <w:rsid w:val="00A4307A"/>
    <w:rsid w:val="00A47EBB"/>
    <w:rsid w:val="00A51CDD"/>
    <w:rsid w:val="00A66F3F"/>
    <w:rsid w:val="00A6730D"/>
    <w:rsid w:val="00A71625"/>
    <w:rsid w:val="00A71B9B"/>
    <w:rsid w:val="00A751C7"/>
    <w:rsid w:val="00A8623C"/>
    <w:rsid w:val="00A86EAB"/>
    <w:rsid w:val="00A87844"/>
    <w:rsid w:val="00AA038C"/>
    <w:rsid w:val="00AA7A09"/>
    <w:rsid w:val="00AB1EDC"/>
    <w:rsid w:val="00AB3B50"/>
    <w:rsid w:val="00AC05B1"/>
    <w:rsid w:val="00AC56EE"/>
    <w:rsid w:val="00AD356C"/>
    <w:rsid w:val="00AD4F3B"/>
    <w:rsid w:val="00AE214D"/>
    <w:rsid w:val="00AE2914"/>
    <w:rsid w:val="00AE6A52"/>
    <w:rsid w:val="00AE6D15"/>
    <w:rsid w:val="00B04182"/>
    <w:rsid w:val="00B07AE3"/>
    <w:rsid w:val="00B11430"/>
    <w:rsid w:val="00B11E99"/>
    <w:rsid w:val="00B12442"/>
    <w:rsid w:val="00B13338"/>
    <w:rsid w:val="00B353EB"/>
    <w:rsid w:val="00B439C4"/>
    <w:rsid w:val="00B4535E"/>
    <w:rsid w:val="00B52A8C"/>
    <w:rsid w:val="00B52BA1"/>
    <w:rsid w:val="00B636A8"/>
    <w:rsid w:val="00B665C6"/>
    <w:rsid w:val="00B775B6"/>
    <w:rsid w:val="00B803D5"/>
    <w:rsid w:val="00B805AF"/>
    <w:rsid w:val="00B81670"/>
    <w:rsid w:val="00B85163"/>
    <w:rsid w:val="00B869EC"/>
    <w:rsid w:val="00B9397A"/>
    <w:rsid w:val="00B9633D"/>
    <w:rsid w:val="00BA2EBE"/>
    <w:rsid w:val="00BB0F28"/>
    <w:rsid w:val="00BB458A"/>
    <w:rsid w:val="00BB4CF5"/>
    <w:rsid w:val="00BC5777"/>
    <w:rsid w:val="00BD00D3"/>
    <w:rsid w:val="00BD1659"/>
    <w:rsid w:val="00BD3AA9"/>
    <w:rsid w:val="00BD4A18"/>
    <w:rsid w:val="00BD6DB2"/>
    <w:rsid w:val="00BE11CF"/>
    <w:rsid w:val="00BE21AB"/>
    <w:rsid w:val="00BE55CB"/>
    <w:rsid w:val="00BF2494"/>
    <w:rsid w:val="00BF617A"/>
    <w:rsid w:val="00C00929"/>
    <w:rsid w:val="00C0379D"/>
    <w:rsid w:val="00C03931"/>
    <w:rsid w:val="00C05FE3"/>
    <w:rsid w:val="00C12F12"/>
    <w:rsid w:val="00C17BE3"/>
    <w:rsid w:val="00C2136D"/>
    <w:rsid w:val="00C214EE"/>
    <w:rsid w:val="00C2314B"/>
    <w:rsid w:val="00C24971"/>
    <w:rsid w:val="00C26BE5"/>
    <w:rsid w:val="00C26E4D"/>
    <w:rsid w:val="00C27909"/>
    <w:rsid w:val="00C27B03"/>
    <w:rsid w:val="00C310B5"/>
    <w:rsid w:val="00C314E1"/>
    <w:rsid w:val="00C34397"/>
    <w:rsid w:val="00C4095D"/>
    <w:rsid w:val="00C42DBC"/>
    <w:rsid w:val="00C601D2"/>
    <w:rsid w:val="00C65BCC"/>
    <w:rsid w:val="00C66970"/>
    <w:rsid w:val="00C8691C"/>
    <w:rsid w:val="00C96950"/>
    <w:rsid w:val="00CA168A"/>
    <w:rsid w:val="00CA357E"/>
    <w:rsid w:val="00CA44F9"/>
    <w:rsid w:val="00CA4A69"/>
    <w:rsid w:val="00CA5338"/>
    <w:rsid w:val="00CB6E4E"/>
    <w:rsid w:val="00CC385F"/>
    <w:rsid w:val="00CC3E0C"/>
    <w:rsid w:val="00CC54EC"/>
    <w:rsid w:val="00CC58D3"/>
    <w:rsid w:val="00CC784D"/>
    <w:rsid w:val="00CD6D5E"/>
    <w:rsid w:val="00CE44F8"/>
    <w:rsid w:val="00CF5786"/>
    <w:rsid w:val="00D0337B"/>
    <w:rsid w:val="00D079B2"/>
    <w:rsid w:val="00D114E9"/>
    <w:rsid w:val="00D429C6"/>
    <w:rsid w:val="00D47748"/>
    <w:rsid w:val="00D54CC3"/>
    <w:rsid w:val="00D6041A"/>
    <w:rsid w:val="00D62C2A"/>
    <w:rsid w:val="00D633EB"/>
    <w:rsid w:val="00D80281"/>
    <w:rsid w:val="00D82FF7"/>
    <w:rsid w:val="00D847FE"/>
    <w:rsid w:val="00D964EA"/>
    <w:rsid w:val="00D966D0"/>
    <w:rsid w:val="00DA0BDC"/>
    <w:rsid w:val="00DA0C59"/>
    <w:rsid w:val="00DA3991"/>
    <w:rsid w:val="00DB7E6C"/>
    <w:rsid w:val="00DC0406"/>
    <w:rsid w:val="00DD39E1"/>
    <w:rsid w:val="00DD5A29"/>
    <w:rsid w:val="00DD5D9D"/>
    <w:rsid w:val="00DE35CB"/>
    <w:rsid w:val="00DF21E9"/>
    <w:rsid w:val="00DF69AA"/>
    <w:rsid w:val="00E00F14"/>
    <w:rsid w:val="00E06386"/>
    <w:rsid w:val="00E22F6C"/>
    <w:rsid w:val="00E236BE"/>
    <w:rsid w:val="00E24D6A"/>
    <w:rsid w:val="00E24EB4"/>
    <w:rsid w:val="00E320ED"/>
    <w:rsid w:val="00E33AFB"/>
    <w:rsid w:val="00E340BF"/>
    <w:rsid w:val="00E34218"/>
    <w:rsid w:val="00E4074E"/>
    <w:rsid w:val="00E46282"/>
    <w:rsid w:val="00E5216E"/>
    <w:rsid w:val="00E52890"/>
    <w:rsid w:val="00E70FE2"/>
    <w:rsid w:val="00E76CF9"/>
    <w:rsid w:val="00E82344"/>
    <w:rsid w:val="00E84C82"/>
    <w:rsid w:val="00E84D64"/>
    <w:rsid w:val="00E87408"/>
    <w:rsid w:val="00E913F1"/>
    <w:rsid w:val="00E914C4"/>
    <w:rsid w:val="00E934F5"/>
    <w:rsid w:val="00E96961"/>
    <w:rsid w:val="00EA5E9A"/>
    <w:rsid w:val="00EA72EC"/>
    <w:rsid w:val="00EB11CB"/>
    <w:rsid w:val="00EB275A"/>
    <w:rsid w:val="00EB37ED"/>
    <w:rsid w:val="00EB786A"/>
    <w:rsid w:val="00EC1578"/>
    <w:rsid w:val="00EC1C72"/>
    <w:rsid w:val="00EC3CC9"/>
    <w:rsid w:val="00EC680A"/>
    <w:rsid w:val="00ED6E51"/>
    <w:rsid w:val="00EE2BED"/>
    <w:rsid w:val="00EE374B"/>
    <w:rsid w:val="00EE4911"/>
    <w:rsid w:val="00F003D8"/>
    <w:rsid w:val="00F11BB5"/>
    <w:rsid w:val="00F1417B"/>
    <w:rsid w:val="00F15487"/>
    <w:rsid w:val="00F1579C"/>
    <w:rsid w:val="00F32009"/>
    <w:rsid w:val="00F33680"/>
    <w:rsid w:val="00F34B99"/>
    <w:rsid w:val="00F47743"/>
    <w:rsid w:val="00F52DAB"/>
    <w:rsid w:val="00F543F0"/>
    <w:rsid w:val="00F62B91"/>
    <w:rsid w:val="00F66D3A"/>
    <w:rsid w:val="00F70DBE"/>
    <w:rsid w:val="00F803AE"/>
    <w:rsid w:val="00F81D29"/>
    <w:rsid w:val="00F91C4D"/>
    <w:rsid w:val="00F92FD9"/>
    <w:rsid w:val="00F94D9A"/>
    <w:rsid w:val="00FA4463"/>
    <w:rsid w:val="00FA6684"/>
    <w:rsid w:val="00FA731E"/>
    <w:rsid w:val="00FB0452"/>
    <w:rsid w:val="00FB2B38"/>
    <w:rsid w:val="00FC6358"/>
    <w:rsid w:val="00FD040F"/>
    <w:rsid w:val="00FD320D"/>
    <w:rsid w:val="00FD4434"/>
    <w:rsid w:val="00FE23DE"/>
    <w:rsid w:val="00FF26AA"/>
    <w:rsid w:val="014903A9"/>
    <w:rsid w:val="014B38AD"/>
    <w:rsid w:val="01937524"/>
    <w:rsid w:val="01A06E9D"/>
    <w:rsid w:val="02003C25"/>
    <w:rsid w:val="0210361A"/>
    <w:rsid w:val="02241011"/>
    <w:rsid w:val="023B0973"/>
    <w:rsid w:val="02510233"/>
    <w:rsid w:val="025B75AD"/>
    <w:rsid w:val="02832A46"/>
    <w:rsid w:val="029B63E6"/>
    <w:rsid w:val="02AF69F7"/>
    <w:rsid w:val="02B618CD"/>
    <w:rsid w:val="02D209DC"/>
    <w:rsid w:val="02E021C5"/>
    <w:rsid w:val="02EA44A9"/>
    <w:rsid w:val="02F7430E"/>
    <w:rsid w:val="03086AA8"/>
    <w:rsid w:val="03595F74"/>
    <w:rsid w:val="035B3A5E"/>
    <w:rsid w:val="03713232"/>
    <w:rsid w:val="037548F7"/>
    <w:rsid w:val="037F384C"/>
    <w:rsid w:val="038E05E4"/>
    <w:rsid w:val="03A8301C"/>
    <w:rsid w:val="03AB2112"/>
    <w:rsid w:val="03C554CB"/>
    <w:rsid w:val="03D6755E"/>
    <w:rsid w:val="03F6794C"/>
    <w:rsid w:val="04086D43"/>
    <w:rsid w:val="04173105"/>
    <w:rsid w:val="042E6E68"/>
    <w:rsid w:val="045E4510"/>
    <w:rsid w:val="04645A66"/>
    <w:rsid w:val="04783609"/>
    <w:rsid w:val="047C60D1"/>
    <w:rsid w:val="04B65AC7"/>
    <w:rsid w:val="04C02AB8"/>
    <w:rsid w:val="04C52BED"/>
    <w:rsid w:val="04DC0AA0"/>
    <w:rsid w:val="04E84AF4"/>
    <w:rsid w:val="04F42E26"/>
    <w:rsid w:val="051226E2"/>
    <w:rsid w:val="051C6AF1"/>
    <w:rsid w:val="05500244"/>
    <w:rsid w:val="05503C6D"/>
    <w:rsid w:val="05761DD9"/>
    <w:rsid w:val="05F50677"/>
    <w:rsid w:val="05FB52CE"/>
    <w:rsid w:val="06061C87"/>
    <w:rsid w:val="060E6A99"/>
    <w:rsid w:val="06163C7C"/>
    <w:rsid w:val="06233AA0"/>
    <w:rsid w:val="067E2CDC"/>
    <w:rsid w:val="06B24608"/>
    <w:rsid w:val="06B34246"/>
    <w:rsid w:val="06BA0A4A"/>
    <w:rsid w:val="06BF6017"/>
    <w:rsid w:val="06F73292"/>
    <w:rsid w:val="07255740"/>
    <w:rsid w:val="073D1FEE"/>
    <w:rsid w:val="075D0C37"/>
    <w:rsid w:val="0765792F"/>
    <w:rsid w:val="07A266A9"/>
    <w:rsid w:val="07BC3712"/>
    <w:rsid w:val="07E7668B"/>
    <w:rsid w:val="07F74CA0"/>
    <w:rsid w:val="08705AE8"/>
    <w:rsid w:val="08845B88"/>
    <w:rsid w:val="0888458F"/>
    <w:rsid w:val="088F0EC7"/>
    <w:rsid w:val="08936C24"/>
    <w:rsid w:val="08A474F4"/>
    <w:rsid w:val="08D86F1C"/>
    <w:rsid w:val="08FA59DB"/>
    <w:rsid w:val="08FC454D"/>
    <w:rsid w:val="091E171F"/>
    <w:rsid w:val="09810F23"/>
    <w:rsid w:val="0983146E"/>
    <w:rsid w:val="09C519BA"/>
    <w:rsid w:val="09D72138"/>
    <w:rsid w:val="09F671BA"/>
    <w:rsid w:val="0A2F270E"/>
    <w:rsid w:val="0A3E03DD"/>
    <w:rsid w:val="0A447515"/>
    <w:rsid w:val="0A4F76B2"/>
    <w:rsid w:val="0A852F8F"/>
    <w:rsid w:val="0A952FEA"/>
    <w:rsid w:val="0AB944A3"/>
    <w:rsid w:val="0B0B4DB9"/>
    <w:rsid w:val="0B1316BA"/>
    <w:rsid w:val="0B175B42"/>
    <w:rsid w:val="0B1A6AC6"/>
    <w:rsid w:val="0B8415DD"/>
    <w:rsid w:val="0B916CB1"/>
    <w:rsid w:val="0BAE7715"/>
    <w:rsid w:val="0BD70693"/>
    <w:rsid w:val="0BD843DA"/>
    <w:rsid w:val="0BD9237C"/>
    <w:rsid w:val="0C28597F"/>
    <w:rsid w:val="0C3E353A"/>
    <w:rsid w:val="0C4E3365"/>
    <w:rsid w:val="0C5D03D7"/>
    <w:rsid w:val="0C5E67B3"/>
    <w:rsid w:val="0C86379A"/>
    <w:rsid w:val="0CAF10DB"/>
    <w:rsid w:val="0CAF495E"/>
    <w:rsid w:val="0CF13E6E"/>
    <w:rsid w:val="0D003464"/>
    <w:rsid w:val="0D5C5D7C"/>
    <w:rsid w:val="0D7D2A2D"/>
    <w:rsid w:val="0D7F5F30"/>
    <w:rsid w:val="0D88419B"/>
    <w:rsid w:val="0D901183"/>
    <w:rsid w:val="0DAD0FFE"/>
    <w:rsid w:val="0DB056B9"/>
    <w:rsid w:val="0DBE1444"/>
    <w:rsid w:val="0DF00B63"/>
    <w:rsid w:val="0DF51C7F"/>
    <w:rsid w:val="0E223FA6"/>
    <w:rsid w:val="0E4D1CFD"/>
    <w:rsid w:val="0E601457"/>
    <w:rsid w:val="0E667FD4"/>
    <w:rsid w:val="0E9B1118"/>
    <w:rsid w:val="0E9B2EC6"/>
    <w:rsid w:val="0EDF3AD2"/>
    <w:rsid w:val="0EEE56EB"/>
    <w:rsid w:val="0EEF4FBF"/>
    <w:rsid w:val="0F052301"/>
    <w:rsid w:val="0F1D6D5A"/>
    <w:rsid w:val="0F2C6214"/>
    <w:rsid w:val="0FC5746F"/>
    <w:rsid w:val="0FD05800"/>
    <w:rsid w:val="0FD9610F"/>
    <w:rsid w:val="102C0118"/>
    <w:rsid w:val="104F540B"/>
    <w:rsid w:val="10634872"/>
    <w:rsid w:val="10676E0A"/>
    <w:rsid w:val="1079461B"/>
    <w:rsid w:val="108C5AAE"/>
    <w:rsid w:val="10961D46"/>
    <w:rsid w:val="109C57D8"/>
    <w:rsid w:val="10A50CDB"/>
    <w:rsid w:val="10AF0EAA"/>
    <w:rsid w:val="10C71E96"/>
    <w:rsid w:val="11150096"/>
    <w:rsid w:val="11153FD1"/>
    <w:rsid w:val="115F4F01"/>
    <w:rsid w:val="11827977"/>
    <w:rsid w:val="11A11E84"/>
    <w:rsid w:val="11A905EE"/>
    <w:rsid w:val="11B25995"/>
    <w:rsid w:val="11C752D8"/>
    <w:rsid w:val="11D24E50"/>
    <w:rsid w:val="12320EC6"/>
    <w:rsid w:val="124E124D"/>
    <w:rsid w:val="12791986"/>
    <w:rsid w:val="12A365A3"/>
    <w:rsid w:val="12A771A7"/>
    <w:rsid w:val="12A9378A"/>
    <w:rsid w:val="12AA247E"/>
    <w:rsid w:val="12DF2B84"/>
    <w:rsid w:val="130E43F8"/>
    <w:rsid w:val="13410222"/>
    <w:rsid w:val="13C61B7D"/>
    <w:rsid w:val="13E27950"/>
    <w:rsid w:val="14066531"/>
    <w:rsid w:val="1410740E"/>
    <w:rsid w:val="14234B9A"/>
    <w:rsid w:val="1457163D"/>
    <w:rsid w:val="145A45EF"/>
    <w:rsid w:val="14831037"/>
    <w:rsid w:val="14BC25A2"/>
    <w:rsid w:val="14E659BE"/>
    <w:rsid w:val="14FF6C22"/>
    <w:rsid w:val="15067AB7"/>
    <w:rsid w:val="1544580C"/>
    <w:rsid w:val="15690030"/>
    <w:rsid w:val="15A57503"/>
    <w:rsid w:val="15AF7212"/>
    <w:rsid w:val="15C570C4"/>
    <w:rsid w:val="15C82D0F"/>
    <w:rsid w:val="15CC2645"/>
    <w:rsid w:val="15DB1A7E"/>
    <w:rsid w:val="15E317F0"/>
    <w:rsid w:val="15E46F00"/>
    <w:rsid w:val="15EF2585"/>
    <w:rsid w:val="16117544"/>
    <w:rsid w:val="162F15A1"/>
    <w:rsid w:val="16456719"/>
    <w:rsid w:val="16864F84"/>
    <w:rsid w:val="168E50BE"/>
    <w:rsid w:val="16914904"/>
    <w:rsid w:val="16983922"/>
    <w:rsid w:val="169A56E7"/>
    <w:rsid w:val="16BA2085"/>
    <w:rsid w:val="16BA66D8"/>
    <w:rsid w:val="16C660B8"/>
    <w:rsid w:val="16C95FDD"/>
    <w:rsid w:val="17084259"/>
    <w:rsid w:val="17162E29"/>
    <w:rsid w:val="17473D3D"/>
    <w:rsid w:val="174A1E03"/>
    <w:rsid w:val="174A5489"/>
    <w:rsid w:val="174C5C47"/>
    <w:rsid w:val="17686BD6"/>
    <w:rsid w:val="17776A8B"/>
    <w:rsid w:val="177C2532"/>
    <w:rsid w:val="17A84F5D"/>
    <w:rsid w:val="17E470BF"/>
    <w:rsid w:val="180C1526"/>
    <w:rsid w:val="18247EA8"/>
    <w:rsid w:val="18315B6B"/>
    <w:rsid w:val="18340143"/>
    <w:rsid w:val="183539C6"/>
    <w:rsid w:val="18533502"/>
    <w:rsid w:val="18542BF6"/>
    <w:rsid w:val="1859608D"/>
    <w:rsid w:val="18701A15"/>
    <w:rsid w:val="18771FB4"/>
    <w:rsid w:val="189D783A"/>
    <w:rsid w:val="18BC4BA4"/>
    <w:rsid w:val="18C035AA"/>
    <w:rsid w:val="18F82F43"/>
    <w:rsid w:val="18F94A09"/>
    <w:rsid w:val="19303ED1"/>
    <w:rsid w:val="1932728B"/>
    <w:rsid w:val="19391844"/>
    <w:rsid w:val="195B59A7"/>
    <w:rsid w:val="195C4D12"/>
    <w:rsid w:val="1971594C"/>
    <w:rsid w:val="19760FDF"/>
    <w:rsid w:val="197E13DE"/>
    <w:rsid w:val="19844B5D"/>
    <w:rsid w:val="199C7DFB"/>
    <w:rsid w:val="19B14317"/>
    <w:rsid w:val="19BB6DE4"/>
    <w:rsid w:val="19CE2462"/>
    <w:rsid w:val="19FD5B68"/>
    <w:rsid w:val="1A024730"/>
    <w:rsid w:val="1A046AC6"/>
    <w:rsid w:val="1A2608F3"/>
    <w:rsid w:val="1A39209E"/>
    <w:rsid w:val="1A565DAC"/>
    <w:rsid w:val="1A5740A8"/>
    <w:rsid w:val="1A5F77D3"/>
    <w:rsid w:val="1A940129"/>
    <w:rsid w:val="1AC8397F"/>
    <w:rsid w:val="1AEC6857"/>
    <w:rsid w:val="1B063E4A"/>
    <w:rsid w:val="1B1F438E"/>
    <w:rsid w:val="1B393D4A"/>
    <w:rsid w:val="1B562691"/>
    <w:rsid w:val="1BA90A6F"/>
    <w:rsid w:val="1BBC30F4"/>
    <w:rsid w:val="1BD42BB8"/>
    <w:rsid w:val="1C142509"/>
    <w:rsid w:val="1C146371"/>
    <w:rsid w:val="1C222CB7"/>
    <w:rsid w:val="1C265D6E"/>
    <w:rsid w:val="1C346454"/>
    <w:rsid w:val="1C382594"/>
    <w:rsid w:val="1C762E97"/>
    <w:rsid w:val="1CC72309"/>
    <w:rsid w:val="1CCD534E"/>
    <w:rsid w:val="1CDB20E5"/>
    <w:rsid w:val="1CF6708B"/>
    <w:rsid w:val="1D081CB0"/>
    <w:rsid w:val="1D09440D"/>
    <w:rsid w:val="1D114CD6"/>
    <w:rsid w:val="1D1D0F4A"/>
    <w:rsid w:val="1D1E5814"/>
    <w:rsid w:val="1D271DC8"/>
    <w:rsid w:val="1D540DB7"/>
    <w:rsid w:val="1D5A7BAC"/>
    <w:rsid w:val="1D5D0E13"/>
    <w:rsid w:val="1D5D4465"/>
    <w:rsid w:val="1D67554C"/>
    <w:rsid w:val="1DD75340"/>
    <w:rsid w:val="1DE55E1B"/>
    <w:rsid w:val="1DFB6638"/>
    <w:rsid w:val="1E035A7E"/>
    <w:rsid w:val="1E2118ED"/>
    <w:rsid w:val="1E5E34CB"/>
    <w:rsid w:val="1E664A2A"/>
    <w:rsid w:val="1E6A727B"/>
    <w:rsid w:val="1E870D71"/>
    <w:rsid w:val="1E8F2A30"/>
    <w:rsid w:val="1E9A73BA"/>
    <w:rsid w:val="1EC45337"/>
    <w:rsid w:val="1EEF1B50"/>
    <w:rsid w:val="1F053CF4"/>
    <w:rsid w:val="1F0B237A"/>
    <w:rsid w:val="1F163F8E"/>
    <w:rsid w:val="1F296504"/>
    <w:rsid w:val="1F325ABD"/>
    <w:rsid w:val="1F5125FF"/>
    <w:rsid w:val="1F610B8A"/>
    <w:rsid w:val="1F696E92"/>
    <w:rsid w:val="1F6E1F58"/>
    <w:rsid w:val="1FA032AE"/>
    <w:rsid w:val="1FBD34A2"/>
    <w:rsid w:val="1FDA4FD1"/>
    <w:rsid w:val="20101C28"/>
    <w:rsid w:val="20593321"/>
    <w:rsid w:val="206B6ABE"/>
    <w:rsid w:val="206D7697"/>
    <w:rsid w:val="208924BC"/>
    <w:rsid w:val="208B4C72"/>
    <w:rsid w:val="20A63420"/>
    <w:rsid w:val="20B551A5"/>
    <w:rsid w:val="20C33E77"/>
    <w:rsid w:val="20EB5A13"/>
    <w:rsid w:val="21233800"/>
    <w:rsid w:val="2138635A"/>
    <w:rsid w:val="21533539"/>
    <w:rsid w:val="216A69E1"/>
    <w:rsid w:val="216C73FA"/>
    <w:rsid w:val="21772473"/>
    <w:rsid w:val="218861DD"/>
    <w:rsid w:val="21A65197"/>
    <w:rsid w:val="21B64D12"/>
    <w:rsid w:val="21D40213"/>
    <w:rsid w:val="21DE4E24"/>
    <w:rsid w:val="21E07116"/>
    <w:rsid w:val="22115556"/>
    <w:rsid w:val="223005FD"/>
    <w:rsid w:val="223E223C"/>
    <w:rsid w:val="22525F24"/>
    <w:rsid w:val="22AF5C5C"/>
    <w:rsid w:val="22CC2DA5"/>
    <w:rsid w:val="22D32FB6"/>
    <w:rsid w:val="22D401B1"/>
    <w:rsid w:val="23125A98"/>
    <w:rsid w:val="23442F4D"/>
    <w:rsid w:val="23567486"/>
    <w:rsid w:val="236667F6"/>
    <w:rsid w:val="237D7345"/>
    <w:rsid w:val="23902B66"/>
    <w:rsid w:val="23C123B8"/>
    <w:rsid w:val="23CD2828"/>
    <w:rsid w:val="23D10D5A"/>
    <w:rsid w:val="23E1334D"/>
    <w:rsid w:val="23F83519"/>
    <w:rsid w:val="24611B73"/>
    <w:rsid w:val="24624798"/>
    <w:rsid w:val="246E0C46"/>
    <w:rsid w:val="24871229"/>
    <w:rsid w:val="24BB4C9A"/>
    <w:rsid w:val="24C3687B"/>
    <w:rsid w:val="251D6DF2"/>
    <w:rsid w:val="252235A1"/>
    <w:rsid w:val="253B4663"/>
    <w:rsid w:val="25425F88"/>
    <w:rsid w:val="255B5B0F"/>
    <w:rsid w:val="25965D3D"/>
    <w:rsid w:val="259D6C58"/>
    <w:rsid w:val="25B10B4E"/>
    <w:rsid w:val="25D21D98"/>
    <w:rsid w:val="26003524"/>
    <w:rsid w:val="26064641"/>
    <w:rsid w:val="260F5D27"/>
    <w:rsid w:val="2622669F"/>
    <w:rsid w:val="26303E31"/>
    <w:rsid w:val="264823C4"/>
    <w:rsid w:val="265949C5"/>
    <w:rsid w:val="2674480D"/>
    <w:rsid w:val="267B31C4"/>
    <w:rsid w:val="26931E56"/>
    <w:rsid w:val="26CA35B2"/>
    <w:rsid w:val="26D71646"/>
    <w:rsid w:val="26E42CD4"/>
    <w:rsid w:val="27084C8D"/>
    <w:rsid w:val="276A5E9A"/>
    <w:rsid w:val="27782101"/>
    <w:rsid w:val="279B2689"/>
    <w:rsid w:val="27B01B38"/>
    <w:rsid w:val="28201CF3"/>
    <w:rsid w:val="282D5C1B"/>
    <w:rsid w:val="28341582"/>
    <w:rsid w:val="28405395"/>
    <w:rsid w:val="28463A4A"/>
    <w:rsid w:val="28507A26"/>
    <w:rsid w:val="28687E65"/>
    <w:rsid w:val="28973338"/>
    <w:rsid w:val="28E120D3"/>
    <w:rsid w:val="28EB4150"/>
    <w:rsid w:val="28FD2DC9"/>
    <w:rsid w:val="291369F2"/>
    <w:rsid w:val="29330AD5"/>
    <w:rsid w:val="29485BC7"/>
    <w:rsid w:val="294D62F6"/>
    <w:rsid w:val="294F5A52"/>
    <w:rsid w:val="29780E6E"/>
    <w:rsid w:val="29812FD8"/>
    <w:rsid w:val="29872725"/>
    <w:rsid w:val="299B4C4E"/>
    <w:rsid w:val="29B97180"/>
    <w:rsid w:val="29BF338C"/>
    <w:rsid w:val="29D46E34"/>
    <w:rsid w:val="29D87A35"/>
    <w:rsid w:val="29ED2849"/>
    <w:rsid w:val="2A0B0BCC"/>
    <w:rsid w:val="2A170190"/>
    <w:rsid w:val="2A17225C"/>
    <w:rsid w:val="2A1B65CF"/>
    <w:rsid w:val="2A6A2827"/>
    <w:rsid w:val="2A724F8F"/>
    <w:rsid w:val="2A814527"/>
    <w:rsid w:val="2ABD283F"/>
    <w:rsid w:val="2ACC686A"/>
    <w:rsid w:val="2AEF03C9"/>
    <w:rsid w:val="2B204D92"/>
    <w:rsid w:val="2B332270"/>
    <w:rsid w:val="2B3C389C"/>
    <w:rsid w:val="2B473D61"/>
    <w:rsid w:val="2B611ABA"/>
    <w:rsid w:val="2B660140"/>
    <w:rsid w:val="2B691C1A"/>
    <w:rsid w:val="2B866B4B"/>
    <w:rsid w:val="2B8A4E7D"/>
    <w:rsid w:val="2BB01839"/>
    <w:rsid w:val="2BD77907"/>
    <w:rsid w:val="2BFD51BC"/>
    <w:rsid w:val="2C057C32"/>
    <w:rsid w:val="2C0B560D"/>
    <w:rsid w:val="2C283A81"/>
    <w:rsid w:val="2C317FB3"/>
    <w:rsid w:val="2C7B2A34"/>
    <w:rsid w:val="2C7F0C0D"/>
    <w:rsid w:val="2C830311"/>
    <w:rsid w:val="2C867F83"/>
    <w:rsid w:val="2C896F66"/>
    <w:rsid w:val="2CA8745B"/>
    <w:rsid w:val="2CA91A51"/>
    <w:rsid w:val="2CC75A41"/>
    <w:rsid w:val="2CD26499"/>
    <w:rsid w:val="2CD90022"/>
    <w:rsid w:val="2CDD0248"/>
    <w:rsid w:val="2CEB15C1"/>
    <w:rsid w:val="2D053ED4"/>
    <w:rsid w:val="2D1E5293"/>
    <w:rsid w:val="2D716F30"/>
    <w:rsid w:val="2D8D3ECA"/>
    <w:rsid w:val="2D9B4590"/>
    <w:rsid w:val="2DC35A21"/>
    <w:rsid w:val="2DCB2E2D"/>
    <w:rsid w:val="2DF45507"/>
    <w:rsid w:val="2DF83A39"/>
    <w:rsid w:val="2E036741"/>
    <w:rsid w:val="2E13617D"/>
    <w:rsid w:val="2E266F15"/>
    <w:rsid w:val="2E645613"/>
    <w:rsid w:val="2E6E4BFB"/>
    <w:rsid w:val="2E932876"/>
    <w:rsid w:val="2EA2103F"/>
    <w:rsid w:val="2EB640BD"/>
    <w:rsid w:val="2EB94A6B"/>
    <w:rsid w:val="2EE6487F"/>
    <w:rsid w:val="2F133C17"/>
    <w:rsid w:val="2F3734AA"/>
    <w:rsid w:val="2F3A7B8C"/>
    <w:rsid w:val="2F47253E"/>
    <w:rsid w:val="2F566903"/>
    <w:rsid w:val="2F717453"/>
    <w:rsid w:val="2F99086A"/>
    <w:rsid w:val="2FC17A65"/>
    <w:rsid w:val="2FE52979"/>
    <w:rsid w:val="30006D6B"/>
    <w:rsid w:val="302F6703"/>
    <w:rsid w:val="3076349C"/>
    <w:rsid w:val="30847806"/>
    <w:rsid w:val="30D96334"/>
    <w:rsid w:val="30F97EB2"/>
    <w:rsid w:val="310216F6"/>
    <w:rsid w:val="31134EFA"/>
    <w:rsid w:val="311A0054"/>
    <w:rsid w:val="311A40E8"/>
    <w:rsid w:val="31290F92"/>
    <w:rsid w:val="31477BE9"/>
    <w:rsid w:val="315327C3"/>
    <w:rsid w:val="31696B1C"/>
    <w:rsid w:val="31762116"/>
    <w:rsid w:val="318C0AB5"/>
    <w:rsid w:val="318C0AF7"/>
    <w:rsid w:val="31A237FE"/>
    <w:rsid w:val="31AF08B2"/>
    <w:rsid w:val="31C02F48"/>
    <w:rsid w:val="31E05861"/>
    <w:rsid w:val="321D524B"/>
    <w:rsid w:val="32242DCE"/>
    <w:rsid w:val="326571C3"/>
    <w:rsid w:val="32857DC3"/>
    <w:rsid w:val="328B3449"/>
    <w:rsid w:val="32910F3D"/>
    <w:rsid w:val="32963D0B"/>
    <w:rsid w:val="32A61DB6"/>
    <w:rsid w:val="32F96AA8"/>
    <w:rsid w:val="32FA3373"/>
    <w:rsid w:val="333B4A26"/>
    <w:rsid w:val="33535743"/>
    <w:rsid w:val="335950CE"/>
    <w:rsid w:val="335C79A7"/>
    <w:rsid w:val="3380537B"/>
    <w:rsid w:val="33967BBB"/>
    <w:rsid w:val="33BD156F"/>
    <w:rsid w:val="34036C94"/>
    <w:rsid w:val="340706E9"/>
    <w:rsid w:val="34106DFB"/>
    <w:rsid w:val="342E17FE"/>
    <w:rsid w:val="343A4CE7"/>
    <w:rsid w:val="34583B0D"/>
    <w:rsid w:val="345B4143"/>
    <w:rsid w:val="34853E54"/>
    <w:rsid w:val="348A3290"/>
    <w:rsid w:val="34B23BC9"/>
    <w:rsid w:val="34E43F3F"/>
    <w:rsid w:val="35197C92"/>
    <w:rsid w:val="35510676"/>
    <w:rsid w:val="35541CA4"/>
    <w:rsid w:val="355C665B"/>
    <w:rsid w:val="356168B2"/>
    <w:rsid w:val="359549F8"/>
    <w:rsid w:val="35AF77A0"/>
    <w:rsid w:val="35B20725"/>
    <w:rsid w:val="35FD3123"/>
    <w:rsid w:val="360058FD"/>
    <w:rsid w:val="360A2438"/>
    <w:rsid w:val="361E3509"/>
    <w:rsid w:val="3621205E"/>
    <w:rsid w:val="36533F02"/>
    <w:rsid w:val="36720B63"/>
    <w:rsid w:val="36835CE5"/>
    <w:rsid w:val="368371B4"/>
    <w:rsid w:val="369B39A4"/>
    <w:rsid w:val="36A22794"/>
    <w:rsid w:val="36BA0F57"/>
    <w:rsid w:val="36BD56F1"/>
    <w:rsid w:val="36D51851"/>
    <w:rsid w:val="36DA3A0A"/>
    <w:rsid w:val="36F62AE0"/>
    <w:rsid w:val="36F6663C"/>
    <w:rsid w:val="372640BD"/>
    <w:rsid w:val="372D232C"/>
    <w:rsid w:val="375E61E2"/>
    <w:rsid w:val="376E7FC0"/>
    <w:rsid w:val="377B5B01"/>
    <w:rsid w:val="379A346B"/>
    <w:rsid w:val="37B40D79"/>
    <w:rsid w:val="37C10485"/>
    <w:rsid w:val="37C11B8A"/>
    <w:rsid w:val="37D050DF"/>
    <w:rsid w:val="37F00FD4"/>
    <w:rsid w:val="38111053"/>
    <w:rsid w:val="381A6460"/>
    <w:rsid w:val="381C7667"/>
    <w:rsid w:val="38363DD5"/>
    <w:rsid w:val="38650F93"/>
    <w:rsid w:val="386625B8"/>
    <w:rsid w:val="386E3120"/>
    <w:rsid w:val="38737663"/>
    <w:rsid w:val="388075BE"/>
    <w:rsid w:val="389D4EFE"/>
    <w:rsid w:val="38CB1241"/>
    <w:rsid w:val="38E250CA"/>
    <w:rsid w:val="38E26DA6"/>
    <w:rsid w:val="38E37C45"/>
    <w:rsid w:val="38F4537F"/>
    <w:rsid w:val="390645DC"/>
    <w:rsid w:val="39137E32"/>
    <w:rsid w:val="391B523E"/>
    <w:rsid w:val="392659F0"/>
    <w:rsid w:val="39365F42"/>
    <w:rsid w:val="39387E8A"/>
    <w:rsid w:val="39430031"/>
    <w:rsid w:val="3955247B"/>
    <w:rsid w:val="39594D23"/>
    <w:rsid w:val="39947DD9"/>
    <w:rsid w:val="39972166"/>
    <w:rsid w:val="39C13274"/>
    <w:rsid w:val="39EA4746"/>
    <w:rsid w:val="39F07927"/>
    <w:rsid w:val="3A160959"/>
    <w:rsid w:val="3A3E08B6"/>
    <w:rsid w:val="3A5067FF"/>
    <w:rsid w:val="3A675260"/>
    <w:rsid w:val="3A7D7404"/>
    <w:rsid w:val="3AA77891"/>
    <w:rsid w:val="3AB31ADC"/>
    <w:rsid w:val="3ABA50EA"/>
    <w:rsid w:val="3B002DFD"/>
    <w:rsid w:val="3B013DDA"/>
    <w:rsid w:val="3B1C0207"/>
    <w:rsid w:val="3B2B0319"/>
    <w:rsid w:val="3B2B73E5"/>
    <w:rsid w:val="3B5500E3"/>
    <w:rsid w:val="3B645DB6"/>
    <w:rsid w:val="3B796157"/>
    <w:rsid w:val="3B836A74"/>
    <w:rsid w:val="3B98499F"/>
    <w:rsid w:val="3BA73EA1"/>
    <w:rsid w:val="3BCD6080"/>
    <w:rsid w:val="3BD779C2"/>
    <w:rsid w:val="3BE2474D"/>
    <w:rsid w:val="3BF2564A"/>
    <w:rsid w:val="3BFB745C"/>
    <w:rsid w:val="3C1747FA"/>
    <w:rsid w:val="3C715FBC"/>
    <w:rsid w:val="3C877459"/>
    <w:rsid w:val="3C9C73FE"/>
    <w:rsid w:val="3CD726D4"/>
    <w:rsid w:val="3CFF533B"/>
    <w:rsid w:val="3D1E7EF5"/>
    <w:rsid w:val="3D426A27"/>
    <w:rsid w:val="3D566E05"/>
    <w:rsid w:val="3D8A5D30"/>
    <w:rsid w:val="3D931F15"/>
    <w:rsid w:val="3DA02ADC"/>
    <w:rsid w:val="3DC52364"/>
    <w:rsid w:val="3DE27716"/>
    <w:rsid w:val="3DE82E12"/>
    <w:rsid w:val="3DFC02BF"/>
    <w:rsid w:val="3E574F0E"/>
    <w:rsid w:val="3E595E2E"/>
    <w:rsid w:val="3E6F6DCE"/>
    <w:rsid w:val="3E7B7A9A"/>
    <w:rsid w:val="3E845912"/>
    <w:rsid w:val="3EA23C09"/>
    <w:rsid w:val="3EA477D4"/>
    <w:rsid w:val="3ECE3B55"/>
    <w:rsid w:val="3EE405BD"/>
    <w:rsid w:val="3EF94F1B"/>
    <w:rsid w:val="3F1F1D15"/>
    <w:rsid w:val="3F546091"/>
    <w:rsid w:val="3F725B45"/>
    <w:rsid w:val="3F8548C3"/>
    <w:rsid w:val="3F9B33EB"/>
    <w:rsid w:val="3FAB7148"/>
    <w:rsid w:val="3FF04C7F"/>
    <w:rsid w:val="3FFE7A37"/>
    <w:rsid w:val="400E1EDD"/>
    <w:rsid w:val="40163438"/>
    <w:rsid w:val="40204729"/>
    <w:rsid w:val="4034372C"/>
    <w:rsid w:val="4057049F"/>
    <w:rsid w:val="408C455C"/>
    <w:rsid w:val="40915CFA"/>
    <w:rsid w:val="4092377C"/>
    <w:rsid w:val="40A1019F"/>
    <w:rsid w:val="40B01F51"/>
    <w:rsid w:val="41004C87"/>
    <w:rsid w:val="410F7B16"/>
    <w:rsid w:val="413F44AA"/>
    <w:rsid w:val="417029EC"/>
    <w:rsid w:val="4199432E"/>
    <w:rsid w:val="41A42FA1"/>
    <w:rsid w:val="41DA54D8"/>
    <w:rsid w:val="420F6CF8"/>
    <w:rsid w:val="4210208D"/>
    <w:rsid w:val="421A46D7"/>
    <w:rsid w:val="42382BB3"/>
    <w:rsid w:val="42390634"/>
    <w:rsid w:val="425E7ED8"/>
    <w:rsid w:val="4269518C"/>
    <w:rsid w:val="42791602"/>
    <w:rsid w:val="427E7AA4"/>
    <w:rsid w:val="429F3A1D"/>
    <w:rsid w:val="42AD30A2"/>
    <w:rsid w:val="42D6219B"/>
    <w:rsid w:val="42FC322C"/>
    <w:rsid w:val="431337EC"/>
    <w:rsid w:val="431B2CA7"/>
    <w:rsid w:val="434D4C79"/>
    <w:rsid w:val="43503FA0"/>
    <w:rsid w:val="43543CB1"/>
    <w:rsid w:val="435C45EB"/>
    <w:rsid w:val="43712258"/>
    <w:rsid w:val="438F69E7"/>
    <w:rsid w:val="439A2E10"/>
    <w:rsid w:val="43AF7870"/>
    <w:rsid w:val="43DA7D60"/>
    <w:rsid w:val="440F4D37"/>
    <w:rsid w:val="4447795E"/>
    <w:rsid w:val="44647D5A"/>
    <w:rsid w:val="446F0254"/>
    <w:rsid w:val="447943E7"/>
    <w:rsid w:val="44D777D0"/>
    <w:rsid w:val="45220D81"/>
    <w:rsid w:val="457E749F"/>
    <w:rsid w:val="45A27CF1"/>
    <w:rsid w:val="45AD272F"/>
    <w:rsid w:val="45AD2F03"/>
    <w:rsid w:val="45B9679C"/>
    <w:rsid w:val="45BA27F4"/>
    <w:rsid w:val="45DA52A8"/>
    <w:rsid w:val="45E43994"/>
    <w:rsid w:val="45EA2683"/>
    <w:rsid w:val="463B3067"/>
    <w:rsid w:val="465B6AFA"/>
    <w:rsid w:val="467D4684"/>
    <w:rsid w:val="4683443C"/>
    <w:rsid w:val="46CD13B8"/>
    <w:rsid w:val="47AA5728"/>
    <w:rsid w:val="47CB3DE2"/>
    <w:rsid w:val="47FE1AD2"/>
    <w:rsid w:val="482D2007"/>
    <w:rsid w:val="48410F19"/>
    <w:rsid w:val="486523D3"/>
    <w:rsid w:val="48892452"/>
    <w:rsid w:val="48CB1236"/>
    <w:rsid w:val="49497AEC"/>
    <w:rsid w:val="4966327A"/>
    <w:rsid w:val="497A1F1B"/>
    <w:rsid w:val="498B21B5"/>
    <w:rsid w:val="498B5A38"/>
    <w:rsid w:val="498C05CA"/>
    <w:rsid w:val="499F7764"/>
    <w:rsid w:val="49AF70D0"/>
    <w:rsid w:val="49D26011"/>
    <w:rsid w:val="4A6C2B28"/>
    <w:rsid w:val="4AFE2097"/>
    <w:rsid w:val="4B111C8B"/>
    <w:rsid w:val="4B1132B6"/>
    <w:rsid w:val="4B417743"/>
    <w:rsid w:val="4B596F2D"/>
    <w:rsid w:val="4B5B6BAD"/>
    <w:rsid w:val="4B5D5934"/>
    <w:rsid w:val="4B721F6B"/>
    <w:rsid w:val="4B735813"/>
    <w:rsid w:val="4B7B0767"/>
    <w:rsid w:val="4B93258A"/>
    <w:rsid w:val="4BA74AAE"/>
    <w:rsid w:val="4BB542C4"/>
    <w:rsid w:val="4C003D8D"/>
    <w:rsid w:val="4C0C47D3"/>
    <w:rsid w:val="4C177328"/>
    <w:rsid w:val="4C193AE8"/>
    <w:rsid w:val="4C480DB4"/>
    <w:rsid w:val="4C4A3198"/>
    <w:rsid w:val="4C4F2848"/>
    <w:rsid w:val="4C6814D6"/>
    <w:rsid w:val="4C700CFC"/>
    <w:rsid w:val="4C79300D"/>
    <w:rsid w:val="4C7C05EF"/>
    <w:rsid w:val="4C9827A5"/>
    <w:rsid w:val="4CD92AE6"/>
    <w:rsid w:val="4CDA0323"/>
    <w:rsid w:val="4CDF25AC"/>
    <w:rsid w:val="4D177590"/>
    <w:rsid w:val="4D266F24"/>
    <w:rsid w:val="4D4B557E"/>
    <w:rsid w:val="4D7507CE"/>
    <w:rsid w:val="4DA80293"/>
    <w:rsid w:val="4DAF7402"/>
    <w:rsid w:val="4DCB5D3F"/>
    <w:rsid w:val="4DF2013F"/>
    <w:rsid w:val="4DFB1A7F"/>
    <w:rsid w:val="4E2E1AFE"/>
    <w:rsid w:val="4E42654F"/>
    <w:rsid w:val="4E4D0205"/>
    <w:rsid w:val="4E5B2D9E"/>
    <w:rsid w:val="4E6323B1"/>
    <w:rsid w:val="4E676BB0"/>
    <w:rsid w:val="4E7074C0"/>
    <w:rsid w:val="4EAA327A"/>
    <w:rsid w:val="4ECE6766"/>
    <w:rsid w:val="4F1F635F"/>
    <w:rsid w:val="4F432615"/>
    <w:rsid w:val="4F485E9E"/>
    <w:rsid w:val="4F4B2388"/>
    <w:rsid w:val="4F6D4BAF"/>
    <w:rsid w:val="4F8A4D05"/>
    <w:rsid w:val="4F974D24"/>
    <w:rsid w:val="4F990227"/>
    <w:rsid w:val="4FA22513"/>
    <w:rsid w:val="4FAA5B0C"/>
    <w:rsid w:val="4FB50A50"/>
    <w:rsid w:val="4FBC3C5F"/>
    <w:rsid w:val="4FBF71BF"/>
    <w:rsid w:val="4FEB3E89"/>
    <w:rsid w:val="50124AB3"/>
    <w:rsid w:val="50131647"/>
    <w:rsid w:val="501B74FB"/>
    <w:rsid w:val="503843D6"/>
    <w:rsid w:val="50484B47"/>
    <w:rsid w:val="5049148B"/>
    <w:rsid w:val="505718DF"/>
    <w:rsid w:val="5059420E"/>
    <w:rsid w:val="507E179E"/>
    <w:rsid w:val="50B618F8"/>
    <w:rsid w:val="50E35A2B"/>
    <w:rsid w:val="50E44045"/>
    <w:rsid w:val="50E50E03"/>
    <w:rsid w:val="50EC0D83"/>
    <w:rsid w:val="50EC1D13"/>
    <w:rsid w:val="51010497"/>
    <w:rsid w:val="515F6BC4"/>
    <w:rsid w:val="51646B83"/>
    <w:rsid w:val="517D16C1"/>
    <w:rsid w:val="519412E6"/>
    <w:rsid w:val="51EF5134"/>
    <w:rsid w:val="52011CB2"/>
    <w:rsid w:val="520601A0"/>
    <w:rsid w:val="5225700C"/>
    <w:rsid w:val="52257BC0"/>
    <w:rsid w:val="526216D9"/>
    <w:rsid w:val="526F57EA"/>
    <w:rsid w:val="528800D6"/>
    <w:rsid w:val="52C5351D"/>
    <w:rsid w:val="52D82877"/>
    <w:rsid w:val="52E17BAD"/>
    <w:rsid w:val="52F21FDA"/>
    <w:rsid w:val="531F2195"/>
    <w:rsid w:val="532306A7"/>
    <w:rsid w:val="5326500E"/>
    <w:rsid w:val="53295E19"/>
    <w:rsid w:val="535B1E41"/>
    <w:rsid w:val="53A70835"/>
    <w:rsid w:val="53A854CE"/>
    <w:rsid w:val="53EA5296"/>
    <w:rsid w:val="54190C85"/>
    <w:rsid w:val="541D2F0E"/>
    <w:rsid w:val="54265D9C"/>
    <w:rsid w:val="54531AE2"/>
    <w:rsid w:val="54695349"/>
    <w:rsid w:val="547F3DC8"/>
    <w:rsid w:val="548A54ED"/>
    <w:rsid w:val="548A5AC1"/>
    <w:rsid w:val="549B37DD"/>
    <w:rsid w:val="54DF0B29"/>
    <w:rsid w:val="54E53E00"/>
    <w:rsid w:val="54F74B9A"/>
    <w:rsid w:val="55501F33"/>
    <w:rsid w:val="559127B5"/>
    <w:rsid w:val="559364B7"/>
    <w:rsid w:val="55C022BA"/>
    <w:rsid w:val="55D212DB"/>
    <w:rsid w:val="55E711DA"/>
    <w:rsid w:val="55EC1E85"/>
    <w:rsid w:val="560E36BE"/>
    <w:rsid w:val="5617797C"/>
    <w:rsid w:val="5622235F"/>
    <w:rsid w:val="564F54C8"/>
    <w:rsid w:val="566D14D9"/>
    <w:rsid w:val="56CE4A87"/>
    <w:rsid w:val="576956EB"/>
    <w:rsid w:val="57BB6B0B"/>
    <w:rsid w:val="57CE4D7B"/>
    <w:rsid w:val="57DA377C"/>
    <w:rsid w:val="57DF393A"/>
    <w:rsid w:val="58422359"/>
    <w:rsid w:val="58B90FA8"/>
    <w:rsid w:val="58C43FFD"/>
    <w:rsid w:val="58C464AD"/>
    <w:rsid w:val="58D01E48"/>
    <w:rsid w:val="58F551DC"/>
    <w:rsid w:val="5919023C"/>
    <w:rsid w:val="593405B4"/>
    <w:rsid w:val="59480B21"/>
    <w:rsid w:val="59A75542"/>
    <w:rsid w:val="59BA3AD1"/>
    <w:rsid w:val="59C04B5B"/>
    <w:rsid w:val="59FA39E9"/>
    <w:rsid w:val="5A376F91"/>
    <w:rsid w:val="5A84605C"/>
    <w:rsid w:val="5ABC1175"/>
    <w:rsid w:val="5ABE26ED"/>
    <w:rsid w:val="5AD05272"/>
    <w:rsid w:val="5AD65B96"/>
    <w:rsid w:val="5AF70202"/>
    <w:rsid w:val="5B132F5A"/>
    <w:rsid w:val="5B27549C"/>
    <w:rsid w:val="5B423ECD"/>
    <w:rsid w:val="5B587E2B"/>
    <w:rsid w:val="5B5969C1"/>
    <w:rsid w:val="5B79196B"/>
    <w:rsid w:val="5B793214"/>
    <w:rsid w:val="5B8F36B6"/>
    <w:rsid w:val="5B991F12"/>
    <w:rsid w:val="5B9E55DE"/>
    <w:rsid w:val="5BA3310C"/>
    <w:rsid w:val="5BAA35EF"/>
    <w:rsid w:val="5BBE19AC"/>
    <w:rsid w:val="5BDC5D0B"/>
    <w:rsid w:val="5BE56583"/>
    <w:rsid w:val="5BF705DC"/>
    <w:rsid w:val="5C4C6A67"/>
    <w:rsid w:val="5C630774"/>
    <w:rsid w:val="5C817DCF"/>
    <w:rsid w:val="5CB21C23"/>
    <w:rsid w:val="5CB660AB"/>
    <w:rsid w:val="5CDD26E7"/>
    <w:rsid w:val="5CEE6205"/>
    <w:rsid w:val="5CFC7735"/>
    <w:rsid w:val="5D042FB1"/>
    <w:rsid w:val="5D076524"/>
    <w:rsid w:val="5D227C36"/>
    <w:rsid w:val="5D587E33"/>
    <w:rsid w:val="5D5A1FF3"/>
    <w:rsid w:val="5D650B6F"/>
    <w:rsid w:val="5D6D1045"/>
    <w:rsid w:val="5D9C768E"/>
    <w:rsid w:val="5DB445D5"/>
    <w:rsid w:val="5DC32E6C"/>
    <w:rsid w:val="5DC8396A"/>
    <w:rsid w:val="5DE1016E"/>
    <w:rsid w:val="5E333C2B"/>
    <w:rsid w:val="5E3F6694"/>
    <w:rsid w:val="5E532196"/>
    <w:rsid w:val="5E5815A9"/>
    <w:rsid w:val="5E657D3D"/>
    <w:rsid w:val="5E6A3983"/>
    <w:rsid w:val="5E824F54"/>
    <w:rsid w:val="5E82661B"/>
    <w:rsid w:val="5EBC250E"/>
    <w:rsid w:val="5EC73BB2"/>
    <w:rsid w:val="5EDB634D"/>
    <w:rsid w:val="5EDE3BFC"/>
    <w:rsid w:val="5F0C6580"/>
    <w:rsid w:val="5F164E91"/>
    <w:rsid w:val="5F2B57AF"/>
    <w:rsid w:val="5F3673C4"/>
    <w:rsid w:val="5F4F0F5E"/>
    <w:rsid w:val="5F5046EA"/>
    <w:rsid w:val="5F5C0237"/>
    <w:rsid w:val="5F6E0A38"/>
    <w:rsid w:val="5F9606E2"/>
    <w:rsid w:val="5FED586D"/>
    <w:rsid w:val="5FEF7D0E"/>
    <w:rsid w:val="60045493"/>
    <w:rsid w:val="600F0882"/>
    <w:rsid w:val="601B7E14"/>
    <w:rsid w:val="603264A4"/>
    <w:rsid w:val="609E5F2F"/>
    <w:rsid w:val="60BB71C0"/>
    <w:rsid w:val="60C846E2"/>
    <w:rsid w:val="60DF60FA"/>
    <w:rsid w:val="60E23609"/>
    <w:rsid w:val="60FF4431"/>
    <w:rsid w:val="611430D1"/>
    <w:rsid w:val="614F681F"/>
    <w:rsid w:val="61533EBB"/>
    <w:rsid w:val="61782DF6"/>
    <w:rsid w:val="61886913"/>
    <w:rsid w:val="618A11F3"/>
    <w:rsid w:val="61B9452E"/>
    <w:rsid w:val="61DD3E1F"/>
    <w:rsid w:val="61E204DE"/>
    <w:rsid w:val="61FF1DD5"/>
    <w:rsid w:val="620902A1"/>
    <w:rsid w:val="62107209"/>
    <w:rsid w:val="62326812"/>
    <w:rsid w:val="624060C2"/>
    <w:rsid w:val="62691CB6"/>
    <w:rsid w:val="626E594D"/>
    <w:rsid w:val="6293593A"/>
    <w:rsid w:val="62A24B3B"/>
    <w:rsid w:val="62C45016"/>
    <w:rsid w:val="62D81C2B"/>
    <w:rsid w:val="632A6F00"/>
    <w:rsid w:val="633565CF"/>
    <w:rsid w:val="634B514E"/>
    <w:rsid w:val="63542EC2"/>
    <w:rsid w:val="63583629"/>
    <w:rsid w:val="636D28C7"/>
    <w:rsid w:val="637003CC"/>
    <w:rsid w:val="63E40C57"/>
    <w:rsid w:val="640778BC"/>
    <w:rsid w:val="640C36CE"/>
    <w:rsid w:val="640E4EEB"/>
    <w:rsid w:val="64591E34"/>
    <w:rsid w:val="64986C27"/>
    <w:rsid w:val="64CE5E82"/>
    <w:rsid w:val="64DD0F09"/>
    <w:rsid w:val="64DE698B"/>
    <w:rsid w:val="64E2458C"/>
    <w:rsid w:val="64E53D97"/>
    <w:rsid w:val="650476EC"/>
    <w:rsid w:val="65294721"/>
    <w:rsid w:val="65872A14"/>
    <w:rsid w:val="65913850"/>
    <w:rsid w:val="659473B3"/>
    <w:rsid w:val="659F31C5"/>
    <w:rsid w:val="65B00EE1"/>
    <w:rsid w:val="65BA4C15"/>
    <w:rsid w:val="65C60E87"/>
    <w:rsid w:val="65C634F9"/>
    <w:rsid w:val="65DC68AD"/>
    <w:rsid w:val="65E34BDD"/>
    <w:rsid w:val="65EF70E9"/>
    <w:rsid w:val="66430FEE"/>
    <w:rsid w:val="665A33F4"/>
    <w:rsid w:val="665D0100"/>
    <w:rsid w:val="66642BCD"/>
    <w:rsid w:val="66717CAD"/>
    <w:rsid w:val="66A065EB"/>
    <w:rsid w:val="6717752F"/>
    <w:rsid w:val="671B49CE"/>
    <w:rsid w:val="673B646A"/>
    <w:rsid w:val="677F2CB2"/>
    <w:rsid w:val="67B83258"/>
    <w:rsid w:val="67E66902"/>
    <w:rsid w:val="68067873"/>
    <w:rsid w:val="68151AB0"/>
    <w:rsid w:val="68243D88"/>
    <w:rsid w:val="68303E3F"/>
    <w:rsid w:val="68382D66"/>
    <w:rsid w:val="68585345"/>
    <w:rsid w:val="687D1E6A"/>
    <w:rsid w:val="688319DD"/>
    <w:rsid w:val="688B1CAE"/>
    <w:rsid w:val="68A04D18"/>
    <w:rsid w:val="68B34122"/>
    <w:rsid w:val="68C85CBA"/>
    <w:rsid w:val="690F0ADD"/>
    <w:rsid w:val="6922251C"/>
    <w:rsid w:val="692B50B2"/>
    <w:rsid w:val="692B5498"/>
    <w:rsid w:val="69794B1B"/>
    <w:rsid w:val="697A0C17"/>
    <w:rsid w:val="69AB7915"/>
    <w:rsid w:val="69BD2E65"/>
    <w:rsid w:val="69D434A1"/>
    <w:rsid w:val="69E63DCA"/>
    <w:rsid w:val="6A570C85"/>
    <w:rsid w:val="6A7C14DB"/>
    <w:rsid w:val="6A874366"/>
    <w:rsid w:val="6AA95FB3"/>
    <w:rsid w:val="6AD205CF"/>
    <w:rsid w:val="6ADF4237"/>
    <w:rsid w:val="6B0605C1"/>
    <w:rsid w:val="6B4E599A"/>
    <w:rsid w:val="6B7248D5"/>
    <w:rsid w:val="6B8A6C42"/>
    <w:rsid w:val="6BA425C9"/>
    <w:rsid w:val="6BC35959"/>
    <w:rsid w:val="6BC92A88"/>
    <w:rsid w:val="6BDD0264"/>
    <w:rsid w:val="6BEA109C"/>
    <w:rsid w:val="6C5E299A"/>
    <w:rsid w:val="6C6A15EA"/>
    <w:rsid w:val="6C802AB8"/>
    <w:rsid w:val="6C8562F7"/>
    <w:rsid w:val="6C8D799E"/>
    <w:rsid w:val="6CA65D2E"/>
    <w:rsid w:val="6CB94BEC"/>
    <w:rsid w:val="6CC64E7C"/>
    <w:rsid w:val="6D0707CE"/>
    <w:rsid w:val="6D164F86"/>
    <w:rsid w:val="6D345C6C"/>
    <w:rsid w:val="6D4F3738"/>
    <w:rsid w:val="6D733FD7"/>
    <w:rsid w:val="6D997259"/>
    <w:rsid w:val="6DCF43F1"/>
    <w:rsid w:val="6DD25061"/>
    <w:rsid w:val="6DDE6F4D"/>
    <w:rsid w:val="6E076DA5"/>
    <w:rsid w:val="6E0C0963"/>
    <w:rsid w:val="6E0D63CB"/>
    <w:rsid w:val="6E2E3854"/>
    <w:rsid w:val="6E5B2C4D"/>
    <w:rsid w:val="6E604821"/>
    <w:rsid w:val="6E6757BA"/>
    <w:rsid w:val="6E7855AD"/>
    <w:rsid w:val="6E787E92"/>
    <w:rsid w:val="6E9266B1"/>
    <w:rsid w:val="6E9310B7"/>
    <w:rsid w:val="6EB33AAD"/>
    <w:rsid w:val="6EC8494C"/>
    <w:rsid w:val="6EC851FD"/>
    <w:rsid w:val="6F0270B0"/>
    <w:rsid w:val="6F213BC9"/>
    <w:rsid w:val="6F27734B"/>
    <w:rsid w:val="6F3A05FC"/>
    <w:rsid w:val="6F3E05E1"/>
    <w:rsid w:val="6F415050"/>
    <w:rsid w:val="6F524678"/>
    <w:rsid w:val="6F547DB4"/>
    <w:rsid w:val="6F786CEE"/>
    <w:rsid w:val="6FA3261F"/>
    <w:rsid w:val="6FD90B54"/>
    <w:rsid w:val="6FDB01B0"/>
    <w:rsid w:val="6FE16D2C"/>
    <w:rsid w:val="6FED6CAD"/>
    <w:rsid w:val="70015FE3"/>
    <w:rsid w:val="7025213F"/>
    <w:rsid w:val="704F34CF"/>
    <w:rsid w:val="70861C0E"/>
    <w:rsid w:val="709616C4"/>
    <w:rsid w:val="70AC5633"/>
    <w:rsid w:val="70B60308"/>
    <w:rsid w:val="70F441A0"/>
    <w:rsid w:val="70F57874"/>
    <w:rsid w:val="70FF3672"/>
    <w:rsid w:val="71037B0A"/>
    <w:rsid w:val="71045729"/>
    <w:rsid w:val="71170341"/>
    <w:rsid w:val="715539EA"/>
    <w:rsid w:val="71B02310"/>
    <w:rsid w:val="71B468F0"/>
    <w:rsid w:val="71C54FAD"/>
    <w:rsid w:val="71C8684B"/>
    <w:rsid w:val="722B4720"/>
    <w:rsid w:val="72365116"/>
    <w:rsid w:val="724966AF"/>
    <w:rsid w:val="725C074C"/>
    <w:rsid w:val="7262015B"/>
    <w:rsid w:val="726630EA"/>
    <w:rsid w:val="72A5098F"/>
    <w:rsid w:val="72B646D1"/>
    <w:rsid w:val="72C74B35"/>
    <w:rsid w:val="72DA3A44"/>
    <w:rsid w:val="72DA6836"/>
    <w:rsid w:val="72E13808"/>
    <w:rsid w:val="73085C46"/>
    <w:rsid w:val="730A49CC"/>
    <w:rsid w:val="73347D13"/>
    <w:rsid w:val="735C20BC"/>
    <w:rsid w:val="73644352"/>
    <w:rsid w:val="736672E4"/>
    <w:rsid w:val="7383089D"/>
    <w:rsid w:val="738826F4"/>
    <w:rsid w:val="738E5A73"/>
    <w:rsid w:val="739C66AA"/>
    <w:rsid w:val="73B54D95"/>
    <w:rsid w:val="73BA195A"/>
    <w:rsid w:val="73FD4960"/>
    <w:rsid w:val="742E508B"/>
    <w:rsid w:val="742F0F2B"/>
    <w:rsid w:val="743F6FC7"/>
    <w:rsid w:val="744B1F5D"/>
    <w:rsid w:val="744C085C"/>
    <w:rsid w:val="747B61F9"/>
    <w:rsid w:val="749E0B92"/>
    <w:rsid w:val="74BC2AB0"/>
    <w:rsid w:val="74C17FCB"/>
    <w:rsid w:val="74FA6D1C"/>
    <w:rsid w:val="75011C6D"/>
    <w:rsid w:val="750C4CB7"/>
    <w:rsid w:val="75772547"/>
    <w:rsid w:val="75897B79"/>
    <w:rsid w:val="75D5670F"/>
    <w:rsid w:val="75ED7F88"/>
    <w:rsid w:val="75F26F32"/>
    <w:rsid w:val="75F37912"/>
    <w:rsid w:val="75FA729D"/>
    <w:rsid w:val="76673BD7"/>
    <w:rsid w:val="7669704E"/>
    <w:rsid w:val="766C79A7"/>
    <w:rsid w:val="767E1A75"/>
    <w:rsid w:val="76A567DB"/>
    <w:rsid w:val="76AD25C4"/>
    <w:rsid w:val="76B5414D"/>
    <w:rsid w:val="76BB46B6"/>
    <w:rsid w:val="76D02779"/>
    <w:rsid w:val="77226D00"/>
    <w:rsid w:val="77332C4C"/>
    <w:rsid w:val="77492442"/>
    <w:rsid w:val="777C1998"/>
    <w:rsid w:val="777D7350"/>
    <w:rsid w:val="77847575"/>
    <w:rsid w:val="779B69C9"/>
    <w:rsid w:val="77F90F61"/>
    <w:rsid w:val="781328B2"/>
    <w:rsid w:val="78244C21"/>
    <w:rsid w:val="783D0751"/>
    <w:rsid w:val="784F3515"/>
    <w:rsid w:val="785C3B7B"/>
    <w:rsid w:val="785E266E"/>
    <w:rsid w:val="78787121"/>
    <w:rsid w:val="78874DAD"/>
    <w:rsid w:val="788D754E"/>
    <w:rsid w:val="78905FDD"/>
    <w:rsid w:val="78920BD3"/>
    <w:rsid w:val="789222A3"/>
    <w:rsid w:val="789C3FEE"/>
    <w:rsid w:val="78BE5827"/>
    <w:rsid w:val="78F965C7"/>
    <w:rsid w:val="790D55A6"/>
    <w:rsid w:val="7924536B"/>
    <w:rsid w:val="79BE31CC"/>
    <w:rsid w:val="79C478F8"/>
    <w:rsid w:val="79CB0C87"/>
    <w:rsid w:val="79DE7FA1"/>
    <w:rsid w:val="7A042B18"/>
    <w:rsid w:val="7A0B42C5"/>
    <w:rsid w:val="7A0D2A14"/>
    <w:rsid w:val="7A113640"/>
    <w:rsid w:val="7A1E34EF"/>
    <w:rsid w:val="7A294A79"/>
    <w:rsid w:val="7A392B15"/>
    <w:rsid w:val="7A3D12BE"/>
    <w:rsid w:val="7A7206F1"/>
    <w:rsid w:val="7A83640D"/>
    <w:rsid w:val="7A931F2A"/>
    <w:rsid w:val="7AAB3D4E"/>
    <w:rsid w:val="7ABD3912"/>
    <w:rsid w:val="7AC426F9"/>
    <w:rsid w:val="7ACC76AD"/>
    <w:rsid w:val="7AF67F85"/>
    <w:rsid w:val="7B3A2568"/>
    <w:rsid w:val="7B4C29CB"/>
    <w:rsid w:val="7B7F75A9"/>
    <w:rsid w:val="7B860134"/>
    <w:rsid w:val="7B9030C7"/>
    <w:rsid w:val="7BA961EF"/>
    <w:rsid w:val="7BD712BD"/>
    <w:rsid w:val="7C1440DB"/>
    <w:rsid w:val="7C3768F1"/>
    <w:rsid w:val="7C3C31DF"/>
    <w:rsid w:val="7C477B75"/>
    <w:rsid w:val="7C536255"/>
    <w:rsid w:val="7C556308"/>
    <w:rsid w:val="7C582B10"/>
    <w:rsid w:val="7C5D7700"/>
    <w:rsid w:val="7C7C3C7B"/>
    <w:rsid w:val="7C800451"/>
    <w:rsid w:val="7C84021C"/>
    <w:rsid w:val="7C8415C1"/>
    <w:rsid w:val="7C8548D8"/>
    <w:rsid w:val="7C941670"/>
    <w:rsid w:val="7C993579"/>
    <w:rsid w:val="7CB016DA"/>
    <w:rsid w:val="7CB838CB"/>
    <w:rsid w:val="7CBB3234"/>
    <w:rsid w:val="7CC877ED"/>
    <w:rsid w:val="7CFF7ADD"/>
    <w:rsid w:val="7D051913"/>
    <w:rsid w:val="7D0875F2"/>
    <w:rsid w:val="7D0D4954"/>
    <w:rsid w:val="7D6527A4"/>
    <w:rsid w:val="7D7C3B6C"/>
    <w:rsid w:val="7D85227D"/>
    <w:rsid w:val="7D965A4F"/>
    <w:rsid w:val="7DAA32A9"/>
    <w:rsid w:val="7DC776F0"/>
    <w:rsid w:val="7DC92BDC"/>
    <w:rsid w:val="7DD70A02"/>
    <w:rsid w:val="7E0B0A10"/>
    <w:rsid w:val="7E233080"/>
    <w:rsid w:val="7E265025"/>
    <w:rsid w:val="7E272F07"/>
    <w:rsid w:val="7E2A59DB"/>
    <w:rsid w:val="7E2E4C94"/>
    <w:rsid w:val="7E805998"/>
    <w:rsid w:val="7E820800"/>
    <w:rsid w:val="7EAC5ABD"/>
    <w:rsid w:val="7EB16167"/>
    <w:rsid w:val="7ED06AC8"/>
    <w:rsid w:val="7F086945"/>
    <w:rsid w:val="7F3663C0"/>
    <w:rsid w:val="7F4E7B27"/>
    <w:rsid w:val="7F643B5C"/>
    <w:rsid w:val="7F6634F2"/>
    <w:rsid w:val="7F683A06"/>
    <w:rsid w:val="7F8A766C"/>
    <w:rsid w:val="7FA27C7E"/>
    <w:rsid w:val="7FC24CC3"/>
    <w:rsid w:val="7FC9210C"/>
    <w:rsid w:val="7FD41366"/>
    <w:rsid w:val="7FD604C8"/>
    <w:rsid w:val="7FDF36DE"/>
    <w:rsid w:val="7FE42C4B"/>
    <w:rsid w:val="7FE66564"/>
    <w:rsid w:val="7FEF6E73"/>
    <w:rsid w:val="7FFC23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unhideWhenUsed="0" w:uiPriority="0" w:semiHidden="0" w:name="Normal Indent"/>
    <w:lsdException w:qFormat="1"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qFormat="1" w:uiPriority="99" w:name="annotation reference"/>
    <w:lsdException w:unhideWhenUsed="0" w:uiPriority="0" w:semiHidden="0" w:name="line number"/>
    <w:lsdException w:qFormat="1" w:unhideWhenUsed="0" w:uiPriority="0" w:semiHidden="0" w:name="page number"/>
    <w:lsdException w:qFormat="1" w:unhideWhenUsed="0" w:uiPriority="0" w:name="endnote reference"/>
    <w:lsdException w:qFormat="1" w:unhideWhenUsed="0" w:uiPriority="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151"/>
    <w:qFormat/>
    <w:uiPriority w:val="0"/>
    <w:pPr>
      <w:keepNext/>
      <w:keepLines/>
      <w:spacing w:before="340" w:after="330" w:line="578" w:lineRule="auto"/>
      <w:outlineLvl w:val="0"/>
    </w:pPr>
    <w:rPr>
      <w:b/>
      <w:bCs/>
      <w:kern w:val="44"/>
      <w:sz w:val="44"/>
      <w:szCs w:val="44"/>
    </w:rPr>
  </w:style>
  <w:style w:type="paragraph" w:styleId="5">
    <w:name w:val="heading 2"/>
    <w:basedOn w:val="1"/>
    <w:next w:val="1"/>
    <w:qFormat/>
    <w:uiPriority w:val="9"/>
    <w:pPr>
      <w:numPr>
        <w:ilvl w:val="1"/>
        <w:numId w:val="1"/>
      </w:numPr>
      <w:spacing w:before="50" w:beforeLines="50" w:after="50" w:afterLines="50"/>
      <w:jc w:val="left"/>
      <w:outlineLvl w:val="1"/>
    </w:pPr>
    <w:rPr>
      <w:rFonts w:ascii="黑体" w:hAnsi="黑体" w:eastAsia="黑体"/>
      <w:snapToGrid w:val="0"/>
      <w:kern w:val="0"/>
      <w:szCs w:val="21"/>
    </w:rPr>
  </w:style>
  <w:style w:type="paragraph" w:styleId="6">
    <w:name w:val="heading 3"/>
    <w:basedOn w:val="1"/>
    <w:next w:val="1"/>
    <w:qFormat/>
    <w:uiPriority w:val="9"/>
    <w:pPr>
      <w:numPr>
        <w:ilvl w:val="2"/>
        <w:numId w:val="1"/>
      </w:numPr>
      <w:outlineLvl w:val="2"/>
    </w:pPr>
    <w:rPr>
      <w:rFonts w:ascii="黑体" w:hAnsi="黑体" w:eastAsia="黑体"/>
    </w:rPr>
  </w:style>
  <w:style w:type="character" w:default="1" w:styleId="38">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unhideWhenUsed/>
    <w:qFormat/>
    <w:uiPriority w:val="99"/>
    <w:pPr>
      <w:adjustRightInd/>
      <w:snapToGrid/>
      <w:spacing w:after="120" w:line="240" w:lineRule="auto"/>
      <w:ind w:firstLine="420" w:firstLineChars="100"/>
    </w:pPr>
    <w:rPr>
      <w:sz w:val="21"/>
      <w:szCs w:val="22"/>
    </w:rPr>
  </w:style>
  <w:style w:type="paragraph" w:styleId="3">
    <w:name w:val="Body Text"/>
    <w:basedOn w:val="1"/>
    <w:qFormat/>
    <w:uiPriority w:val="0"/>
    <w:pPr>
      <w:spacing w:after="120"/>
    </w:pPr>
  </w:style>
  <w:style w:type="paragraph" w:styleId="7">
    <w:name w:val="toc 7"/>
    <w:basedOn w:val="1"/>
    <w:next w:val="1"/>
    <w:semiHidden/>
    <w:qFormat/>
    <w:uiPriority w:val="0"/>
    <w:pPr>
      <w:tabs>
        <w:tab w:val="right" w:leader="dot" w:pos="9241"/>
      </w:tabs>
      <w:ind w:firstLine="505" w:firstLineChars="500"/>
      <w:jc w:val="left"/>
    </w:pPr>
    <w:rPr>
      <w:rFonts w:ascii="宋体"/>
      <w:szCs w:val="21"/>
    </w:rPr>
  </w:style>
  <w:style w:type="paragraph" w:styleId="8">
    <w:name w:val="index 8"/>
    <w:basedOn w:val="1"/>
    <w:next w:val="1"/>
    <w:qFormat/>
    <w:uiPriority w:val="0"/>
    <w:pPr>
      <w:ind w:left="1680" w:hanging="210"/>
      <w:jc w:val="left"/>
    </w:pPr>
    <w:rPr>
      <w:rFonts w:ascii="Calibri" w:hAnsi="Calibri"/>
      <w:sz w:val="20"/>
      <w:szCs w:val="20"/>
    </w:rPr>
  </w:style>
  <w:style w:type="paragraph" w:styleId="9">
    <w:name w:val="caption"/>
    <w:basedOn w:val="1"/>
    <w:next w:val="1"/>
    <w:qFormat/>
    <w:uiPriority w:val="0"/>
    <w:pPr>
      <w:spacing w:before="152" w:after="160"/>
    </w:pPr>
    <w:rPr>
      <w:rFonts w:ascii="Arial" w:hAnsi="Arial" w:eastAsia="黑体" w:cs="Arial"/>
      <w:sz w:val="20"/>
      <w:szCs w:val="20"/>
    </w:rPr>
  </w:style>
  <w:style w:type="paragraph" w:styleId="10">
    <w:name w:val="index 5"/>
    <w:basedOn w:val="1"/>
    <w:next w:val="1"/>
    <w:qFormat/>
    <w:uiPriority w:val="0"/>
    <w:pPr>
      <w:ind w:left="1050" w:hanging="210"/>
      <w:jc w:val="left"/>
    </w:pPr>
    <w:rPr>
      <w:rFonts w:ascii="Calibri" w:hAnsi="Calibri"/>
      <w:sz w:val="20"/>
      <w:szCs w:val="20"/>
    </w:rPr>
  </w:style>
  <w:style w:type="paragraph" w:styleId="11">
    <w:name w:val="Document Map"/>
    <w:basedOn w:val="1"/>
    <w:semiHidden/>
    <w:qFormat/>
    <w:uiPriority w:val="0"/>
    <w:pPr>
      <w:shd w:val="clear" w:color="auto" w:fill="000080"/>
    </w:pPr>
  </w:style>
  <w:style w:type="paragraph" w:styleId="12">
    <w:name w:val="annotation text"/>
    <w:basedOn w:val="1"/>
    <w:unhideWhenUsed/>
    <w:qFormat/>
    <w:uiPriority w:val="99"/>
  </w:style>
  <w:style w:type="paragraph" w:styleId="13">
    <w:name w:val="index 6"/>
    <w:basedOn w:val="1"/>
    <w:next w:val="1"/>
    <w:qFormat/>
    <w:uiPriority w:val="0"/>
    <w:pPr>
      <w:ind w:left="1260" w:hanging="210"/>
      <w:jc w:val="left"/>
    </w:pPr>
    <w:rPr>
      <w:rFonts w:ascii="Calibri" w:hAnsi="Calibri"/>
      <w:sz w:val="20"/>
      <w:szCs w:val="20"/>
    </w:rPr>
  </w:style>
  <w:style w:type="paragraph" w:styleId="14">
    <w:name w:val="index 4"/>
    <w:basedOn w:val="1"/>
    <w:next w:val="1"/>
    <w:qFormat/>
    <w:uiPriority w:val="0"/>
    <w:pPr>
      <w:ind w:left="840" w:hanging="210"/>
      <w:jc w:val="left"/>
    </w:pPr>
    <w:rPr>
      <w:rFonts w:ascii="Calibri" w:hAnsi="Calibri"/>
      <w:sz w:val="20"/>
      <w:szCs w:val="20"/>
    </w:rPr>
  </w:style>
  <w:style w:type="paragraph" w:styleId="15">
    <w:name w:val="toc 5"/>
    <w:basedOn w:val="1"/>
    <w:next w:val="1"/>
    <w:semiHidden/>
    <w:qFormat/>
    <w:uiPriority w:val="0"/>
    <w:pPr>
      <w:tabs>
        <w:tab w:val="right" w:leader="dot" w:pos="9241"/>
      </w:tabs>
      <w:ind w:firstLine="300" w:firstLineChars="300"/>
      <w:jc w:val="left"/>
    </w:pPr>
    <w:rPr>
      <w:rFonts w:ascii="宋体"/>
      <w:szCs w:val="21"/>
    </w:rPr>
  </w:style>
  <w:style w:type="paragraph" w:styleId="16">
    <w:name w:val="toc 3"/>
    <w:basedOn w:val="1"/>
    <w:next w:val="1"/>
    <w:qFormat/>
    <w:uiPriority w:val="39"/>
    <w:pPr>
      <w:tabs>
        <w:tab w:val="right" w:leader="dot" w:pos="9241"/>
      </w:tabs>
      <w:ind w:firstLine="102" w:firstLineChars="100"/>
      <w:jc w:val="left"/>
    </w:pPr>
    <w:rPr>
      <w:rFonts w:ascii="宋体"/>
      <w:szCs w:val="21"/>
    </w:rPr>
  </w:style>
  <w:style w:type="paragraph" w:styleId="17">
    <w:name w:val="toc 8"/>
    <w:basedOn w:val="1"/>
    <w:next w:val="1"/>
    <w:semiHidden/>
    <w:qFormat/>
    <w:uiPriority w:val="0"/>
    <w:pPr>
      <w:tabs>
        <w:tab w:val="right" w:leader="dot" w:pos="9241"/>
      </w:tabs>
      <w:ind w:firstLine="607" w:firstLineChars="600"/>
      <w:jc w:val="left"/>
    </w:pPr>
    <w:rPr>
      <w:rFonts w:ascii="宋体"/>
      <w:szCs w:val="21"/>
    </w:rPr>
  </w:style>
  <w:style w:type="paragraph" w:styleId="18">
    <w:name w:val="index 3"/>
    <w:basedOn w:val="1"/>
    <w:next w:val="1"/>
    <w:qFormat/>
    <w:uiPriority w:val="0"/>
    <w:pPr>
      <w:ind w:left="630" w:hanging="210"/>
      <w:jc w:val="left"/>
    </w:pPr>
    <w:rPr>
      <w:rFonts w:ascii="Calibri" w:hAnsi="Calibri"/>
      <w:sz w:val="20"/>
      <w:szCs w:val="20"/>
    </w:rPr>
  </w:style>
  <w:style w:type="paragraph" w:styleId="19">
    <w:name w:val="endnote text"/>
    <w:basedOn w:val="1"/>
    <w:semiHidden/>
    <w:qFormat/>
    <w:uiPriority w:val="0"/>
    <w:pPr>
      <w:snapToGrid w:val="0"/>
      <w:jc w:val="left"/>
    </w:pPr>
  </w:style>
  <w:style w:type="paragraph" w:styleId="20">
    <w:name w:val="Balloon Text"/>
    <w:basedOn w:val="1"/>
    <w:semiHidden/>
    <w:qFormat/>
    <w:uiPriority w:val="0"/>
    <w:rPr>
      <w:sz w:val="18"/>
      <w:szCs w:val="18"/>
    </w:rPr>
  </w:style>
  <w:style w:type="paragraph" w:styleId="21">
    <w:name w:val="footer"/>
    <w:basedOn w:val="1"/>
    <w:link w:val="143"/>
    <w:qFormat/>
    <w:uiPriority w:val="0"/>
    <w:pPr>
      <w:snapToGrid w:val="0"/>
      <w:ind w:right="210" w:rightChars="100"/>
      <w:jc w:val="right"/>
    </w:pPr>
    <w:rPr>
      <w:sz w:val="18"/>
      <w:szCs w:val="18"/>
    </w:rPr>
  </w:style>
  <w:style w:type="paragraph" w:styleId="22">
    <w:name w:val="header"/>
    <w:basedOn w:val="1"/>
    <w:link w:val="144"/>
    <w:qFormat/>
    <w:uiPriority w:val="0"/>
    <w:pPr>
      <w:snapToGrid w:val="0"/>
      <w:jc w:val="left"/>
    </w:pPr>
    <w:rPr>
      <w:sz w:val="18"/>
      <w:szCs w:val="18"/>
    </w:rPr>
  </w:style>
  <w:style w:type="paragraph" w:styleId="23">
    <w:name w:val="toc 1"/>
    <w:basedOn w:val="1"/>
    <w:next w:val="1"/>
    <w:qFormat/>
    <w:uiPriority w:val="39"/>
    <w:pPr>
      <w:tabs>
        <w:tab w:val="right" w:leader="dot" w:pos="9241"/>
      </w:tabs>
      <w:spacing w:before="25" w:beforeLines="25" w:after="25" w:afterLines="25"/>
      <w:jc w:val="left"/>
    </w:pPr>
    <w:rPr>
      <w:rFonts w:ascii="宋体"/>
      <w:szCs w:val="21"/>
    </w:rPr>
  </w:style>
  <w:style w:type="paragraph" w:styleId="24">
    <w:name w:val="toc 4"/>
    <w:basedOn w:val="1"/>
    <w:next w:val="1"/>
    <w:semiHidden/>
    <w:qFormat/>
    <w:uiPriority w:val="0"/>
    <w:pPr>
      <w:tabs>
        <w:tab w:val="right" w:leader="dot" w:pos="9241"/>
      </w:tabs>
      <w:ind w:firstLine="198" w:firstLineChars="200"/>
      <w:jc w:val="left"/>
    </w:pPr>
    <w:rPr>
      <w:rFonts w:ascii="宋体"/>
      <w:szCs w:val="21"/>
    </w:rPr>
  </w:style>
  <w:style w:type="paragraph" w:styleId="25">
    <w:name w:val="index heading"/>
    <w:basedOn w:val="1"/>
    <w:next w:val="26"/>
    <w:qFormat/>
    <w:uiPriority w:val="0"/>
    <w:pPr>
      <w:spacing w:before="120" w:after="120"/>
      <w:jc w:val="center"/>
    </w:pPr>
    <w:rPr>
      <w:rFonts w:ascii="Calibri" w:hAnsi="Calibri"/>
      <w:b/>
      <w:bCs/>
      <w:iCs/>
      <w:szCs w:val="20"/>
    </w:rPr>
  </w:style>
  <w:style w:type="paragraph" w:styleId="26">
    <w:name w:val="index 1"/>
    <w:basedOn w:val="1"/>
    <w:next w:val="27"/>
    <w:qFormat/>
    <w:uiPriority w:val="0"/>
    <w:pPr>
      <w:tabs>
        <w:tab w:val="right" w:leader="dot" w:pos="9299"/>
      </w:tabs>
      <w:jc w:val="left"/>
    </w:pPr>
    <w:rPr>
      <w:rFonts w:ascii="宋体"/>
      <w:szCs w:val="21"/>
    </w:rPr>
  </w:style>
  <w:style w:type="paragraph" w:customStyle="1" w:styleId="27">
    <w:name w:val="段"/>
    <w:link w:val="45"/>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styleId="28">
    <w:name w:val="footnote text"/>
    <w:basedOn w:val="1"/>
    <w:qFormat/>
    <w:uiPriority w:val="0"/>
    <w:pPr>
      <w:numPr>
        <w:ilvl w:val="0"/>
        <w:numId w:val="2"/>
      </w:numPr>
      <w:snapToGrid w:val="0"/>
      <w:jc w:val="left"/>
    </w:pPr>
    <w:rPr>
      <w:rFonts w:ascii="宋体"/>
      <w:sz w:val="18"/>
      <w:szCs w:val="18"/>
    </w:rPr>
  </w:style>
  <w:style w:type="paragraph" w:styleId="29">
    <w:name w:val="toc 6"/>
    <w:basedOn w:val="1"/>
    <w:next w:val="1"/>
    <w:semiHidden/>
    <w:qFormat/>
    <w:uiPriority w:val="0"/>
    <w:pPr>
      <w:tabs>
        <w:tab w:val="right" w:leader="dot" w:pos="9241"/>
      </w:tabs>
      <w:ind w:firstLine="403" w:firstLineChars="400"/>
      <w:jc w:val="left"/>
    </w:pPr>
    <w:rPr>
      <w:rFonts w:ascii="宋体"/>
      <w:szCs w:val="21"/>
    </w:rPr>
  </w:style>
  <w:style w:type="paragraph" w:styleId="30">
    <w:name w:val="index 7"/>
    <w:basedOn w:val="1"/>
    <w:next w:val="1"/>
    <w:qFormat/>
    <w:uiPriority w:val="0"/>
    <w:pPr>
      <w:ind w:left="1470" w:hanging="210"/>
      <w:jc w:val="left"/>
    </w:pPr>
    <w:rPr>
      <w:rFonts w:ascii="Calibri" w:hAnsi="Calibri"/>
      <w:sz w:val="20"/>
      <w:szCs w:val="20"/>
    </w:rPr>
  </w:style>
  <w:style w:type="paragraph" w:styleId="31">
    <w:name w:val="index 9"/>
    <w:basedOn w:val="1"/>
    <w:next w:val="1"/>
    <w:qFormat/>
    <w:uiPriority w:val="0"/>
    <w:pPr>
      <w:ind w:left="1890" w:hanging="210"/>
      <w:jc w:val="left"/>
    </w:pPr>
    <w:rPr>
      <w:rFonts w:ascii="Calibri" w:hAnsi="Calibri"/>
      <w:sz w:val="20"/>
      <w:szCs w:val="20"/>
    </w:rPr>
  </w:style>
  <w:style w:type="paragraph" w:styleId="32">
    <w:name w:val="toc 2"/>
    <w:basedOn w:val="1"/>
    <w:next w:val="1"/>
    <w:qFormat/>
    <w:uiPriority w:val="39"/>
    <w:pPr>
      <w:tabs>
        <w:tab w:val="right" w:leader="dot" w:pos="9241"/>
      </w:tabs>
    </w:pPr>
    <w:rPr>
      <w:rFonts w:ascii="宋体"/>
      <w:szCs w:val="21"/>
    </w:rPr>
  </w:style>
  <w:style w:type="paragraph" w:styleId="33">
    <w:name w:val="toc 9"/>
    <w:basedOn w:val="1"/>
    <w:next w:val="1"/>
    <w:semiHidden/>
    <w:qFormat/>
    <w:uiPriority w:val="0"/>
    <w:pPr>
      <w:ind w:left="1470"/>
      <w:jc w:val="left"/>
    </w:pPr>
    <w:rPr>
      <w:sz w:val="20"/>
      <w:szCs w:val="20"/>
    </w:rPr>
  </w:style>
  <w:style w:type="paragraph" w:styleId="34">
    <w:name w:val="index 2"/>
    <w:basedOn w:val="1"/>
    <w:next w:val="1"/>
    <w:qFormat/>
    <w:uiPriority w:val="0"/>
    <w:pPr>
      <w:ind w:left="420" w:hanging="210"/>
      <w:jc w:val="left"/>
    </w:pPr>
    <w:rPr>
      <w:rFonts w:ascii="Calibri" w:hAnsi="Calibri"/>
      <w:sz w:val="20"/>
      <w:szCs w:val="20"/>
    </w:rPr>
  </w:style>
  <w:style w:type="paragraph" w:styleId="35">
    <w:name w:val="Title"/>
    <w:basedOn w:val="1"/>
    <w:next w:val="1"/>
    <w:qFormat/>
    <w:uiPriority w:val="10"/>
    <w:pPr>
      <w:numPr>
        <w:ilvl w:val="0"/>
        <w:numId w:val="1"/>
      </w:numPr>
      <w:spacing w:before="326" w:beforeLines="100" w:after="326" w:afterLines="100"/>
      <w:jc w:val="left"/>
      <w:outlineLvl w:val="0"/>
    </w:pPr>
    <w:rPr>
      <w:rFonts w:ascii="黑体" w:hAnsi="黑体" w:eastAsia="黑体"/>
      <w:bCs/>
      <w:kern w:val="0"/>
      <w:szCs w:val="21"/>
    </w:rPr>
  </w:style>
  <w:style w:type="table" w:styleId="37">
    <w:name w:val="Table Grid"/>
    <w:basedOn w:val="36"/>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9">
    <w:name w:val="endnote reference"/>
    <w:basedOn w:val="38"/>
    <w:semiHidden/>
    <w:qFormat/>
    <w:uiPriority w:val="0"/>
    <w:rPr>
      <w:vertAlign w:val="superscript"/>
    </w:rPr>
  </w:style>
  <w:style w:type="character" w:styleId="40">
    <w:name w:val="page number"/>
    <w:basedOn w:val="38"/>
    <w:qFormat/>
    <w:uiPriority w:val="0"/>
    <w:rPr>
      <w:rFonts w:ascii="Times New Roman" w:hAnsi="Times New Roman" w:eastAsia="宋体"/>
      <w:sz w:val="18"/>
    </w:rPr>
  </w:style>
  <w:style w:type="character" w:styleId="41">
    <w:name w:val="FollowedHyperlink"/>
    <w:basedOn w:val="38"/>
    <w:qFormat/>
    <w:uiPriority w:val="0"/>
    <w:rPr>
      <w:color w:val="800080"/>
      <w:u w:val="single"/>
    </w:rPr>
  </w:style>
  <w:style w:type="character" w:styleId="42">
    <w:name w:val="Hyperlink"/>
    <w:basedOn w:val="38"/>
    <w:qFormat/>
    <w:uiPriority w:val="99"/>
    <w:rPr>
      <w:color w:val="0000FF"/>
      <w:spacing w:val="0"/>
      <w:w w:val="100"/>
      <w:szCs w:val="21"/>
      <w:u w:val="single"/>
      <w:lang w:val="en-US" w:eastAsia="zh-CN"/>
    </w:rPr>
  </w:style>
  <w:style w:type="character" w:styleId="43">
    <w:name w:val="annotation reference"/>
    <w:basedOn w:val="38"/>
    <w:semiHidden/>
    <w:unhideWhenUsed/>
    <w:qFormat/>
    <w:uiPriority w:val="99"/>
    <w:rPr>
      <w:sz w:val="21"/>
      <w:szCs w:val="21"/>
    </w:rPr>
  </w:style>
  <w:style w:type="character" w:styleId="44">
    <w:name w:val="footnote reference"/>
    <w:basedOn w:val="38"/>
    <w:semiHidden/>
    <w:qFormat/>
    <w:uiPriority w:val="0"/>
    <w:rPr>
      <w:vertAlign w:val="superscript"/>
    </w:rPr>
  </w:style>
  <w:style w:type="character" w:customStyle="1" w:styleId="45">
    <w:name w:val="段 Char"/>
    <w:basedOn w:val="38"/>
    <w:link w:val="27"/>
    <w:qFormat/>
    <w:uiPriority w:val="0"/>
    <w:rPr>
      <w:rFonts w:ascii="宋体"/>
      <w:sz w:val="21"/>
      <w:lang w:val="en-US" w:eastAsia="zh-CN" w:bidi="ar-SA"/>
    </w:rPr>
  </w:style>
  <w:style w:type="character" w:customStyle="1" w:styleId="46">
    <w:name w:val="首示例 Char"/>
    <w:basedOn w:val="38"/>
    <w:link w:val="47"/>
    <w:qFormat/>
    <w:uiPriority w:val="0"/>
    <w:rPr>
      <w:rFonts w:ascii="宋体" w:hAnsi="宋体"/>
      <w:kern w:val="2"/>
      <w:sz w:val="18"/>
      <w:szCs w:val="18"/>
      <w:lang w:val="en-US" w:eastAsia="zh-CN" w:bidi="ar-SA"/>
    </w:rPr>
  </w:style>
  <w:style w:type="paragraph" w:customStyle="1" w:styleId="47">
    <w:name w:val="首示例"/>
    <w:next w:val="27"/>
    <w:link w:val="46"/>
    <w:qFormat/>
    <w:uiPriority w:val="0"/>
    <w:pPr>
      <w:numPr>
        <w:ilvl w:val="0"/>
        <w:numId w:val="3"/>
      </w:numPr>
      <w:tabs>
        <w:tab w:val="left" w:pos="360"/>
      </w:tabs>
      <w:ind w:firstLine="0"/>
    </w:pPr>
    <w:rPr>
      <w:rFonts w:ascii="宋体" w:hAnsi="宋体" w:eastAsia="宋体" w:cs="Times New Roman"/>
      <w:kern w:val="2"/>
      <w:sz w:val="18"/>
      <w:szCs w:val="18"/>
      <w:lang w:val="en-US" w:eastAsia="zh-CN" w:bidi="ar-SA"/>
    </w:rPr>
  </w:style>
  <w:style w:type="character" w:customStyle="1" w:styleId="48">
    <w:name w:val="发布"/>
    <w:basedOn w:val="38"/>
    <w:qFormat/>
    <w:uiPriority w:val="0"/>
    <w:rPr>
      <w:rFonts w:ascii="黑体" w:eastAsia="黑体"/>
      <w:spacing w:val="85"/>
      <w:w w:val="100"/>
      <w:position w:val="3"/>
      <w:sz w:val="28"/>
      <w:szCs w:val="28"/>
    </w:rPr>
  </w:style>
  <w:style w:type="character" w:customStyle="1" w:styleId="49">
    <w:name w:val="附录公式 Char"/>
    <w:basedOn w:val="45"/>
    <w:link w:val="50"/>
    <w:qFormat/>
    <w:uiPriority w:val="0"/>
    <w:rPr>
      <w:rFonts w:ascii="宋体"/>
      <w:sz w:val="21"/>
      <w:lang w:val="en-US" w:eastAsia="zh-CN" w:bidi="ar-SA"/>
    </w:rPr>
  </w:style>
  <w:style w:type="paragraph" w:customStyle="1" w:styleId="50">
    <w:name w:val="附录公式"/>
    <w:basedOn w:val="27"/>
    <w:next w:val="27"/>
    <w:link w:val="49"/>
    <w:qFormat/>
    <w:uiPriority w:val="0"/>
  </w:style>
  <w:style w:type="paragraph" w:customStyle="1" w:styleId="51">
    <w:name w:val="正文图标题"/>
    <w:next w:val="27"/>
    <w:qFormat/>
    <w:uiPriority w:val="0"/>
    <w:pPr>
      <w:numPr>
        <w:ilvl w:val="0"/>
        <w:numId w:val="4"/>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52">
    <w:name w:val="正文表标题"/>
    <w:next w:val="27"/>
    <w:qFormat/>
    <w:uiPriority w:val="0"/>
    <w:pPr>
      <w:numPr>
        <w:ilvl w:val="0"/>
        <w:numId w:val="5"/>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53">
    <w:name w:val="封面标准英文名称2"/>
    <w:basedOn w:val="54"/>
    <w:qFormat/>
    <w:uiPriority w:val="0"/>
    <w:pPr>
      <w:framePr w:y="4469"/>
    </w:pPr>
  </w:style>
  <w:style w:type="paragraph" w:customStyle="1" w:styleId="54">
    <w:name w:val="封面标准英文名称"/>
    <w:basedOn w:val="55"/>
    <w:qFormat/>
    <w:uiPriority w:val="0"/>
    <w:pPr>
      <w:spacing w:before="370" w:line="400" w:lineRule="exact"/>
    </w:pPr>
    <w:rPr>
      <w:rFonts w:ascii="Times New Roman"/>
      <w:sz w:val="28"/>
      <w:szCs w:val="28"/>
    </w:rPr>
  </w:style>
  <w:style w:type="paragraph" w:customStyle="1" w:styleId="55">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56">
    <w:name w:val="一级无"/>
    <w:basedOn w:val="57"/>
    <w:qFormat/>
    <w:uiPriority w:val="0"/>
    <w:pPr>
      <w:spacing w:before="0" w:beforeLines="0" w:after="0" w:afterLines="0"/>
    </w:pPr>
    <w:rPr>
      <w:rFonts w:ascii="宋体" w:eastAsia="宋体"/>
    </w:rPr>
  </w:style>
  <w:style w:type="paragraph" w:customStyle="1" w:styleId="57">
    <w:name w:val="一级条标题"/>
    <w:next w:val="27"/>
    <w:qFormat/>
    <w:uiPriority w:val="0"/>
    <w:p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58">
    <w:name w:val="封面标准文稿类别2"/>
    <w:basedOn w:val="59"/>
    <w:qFormat/>
    <w:uiPriority w:val="0"/>
    <w:pPr>
      <w:framePr w:y="4469"/>
    </w:pPr>
  </w:style>
  <w:style w:type="paragraph" w:customStyle="1" w:styleId="59">
    <w:name w:val="封面标准文稿类别"/>
    <w:basedOn w:val="60"/>
    <w:qFormat/>
    <w:uiPriority w:val="0"/>
    <w:pPr>
      <w:spacing w:after="160" w:line="240" w:lineRule="auto"/>
    </w:pPr>
    <w:rPr>
      <w:sz w:val="24"/>
    </w:rPr>
  </w:style>
  <w:style w:type="paragraph" w:customStyle="1" w:styleId="60">
    <w:name w:val="封面一致性程度标识"/>
    <w:basedOn w:val="54"/>
    <w:qFormat/>
    <w:uiPriority w:val="0"/>
    <w:pPr>
      <w:spacing w:before="440"/>
    </w:pPr>
    <w:rPr>
      <w:rFonts w:ascii="宋体" w:eastAsia="宋体"/>
    </w:rPr>
  </w:style>
  <w:style w:type="paragraph" w:customStyle="1" w:styleId="61">
    <w:name w:val="文献分类号"/>
    <w:qFormat/>
    <w:uiPriority w:val="0"/>
    <w:pPr>
      <w:framePr w:hSpace="180" w:vSpace="180" w:wrap="around" w:vAnchor="margin" w:hAnchor="margin" w:y="1" w:anchorLock="1"/>
      <w:widowControl w:val="0"/>
      <w:textAlignment w:val="center"/>
    </w:pPr>
    <w:rPr>
      <w:rFonts w:ascii="黑体" w:hAnsi="Times New Roman" w:eastAsia="黑体" w:cs="Times New Roman"/>
      <w:sz w:val="21"/>
      <w:szCs w:val="21"/>
      <w:lang w:val="en-US" w:eastAsia="zh-CN" w:bidi="ar-SA"/>
    </w:rPr>
  </w:style>
  <w:style w:type="paragraph" w:customStyle="1" w:styleId="62">
    <w:name w:val="封面一致性程度标识2"/>
    <w:basedOn w:val="60"/>
    <w:qFormat/>
    <w:uiPriority w:val="0"/>
    <w:pPr>
      <w:framePr w:y="4469"/>
    </w:pPr>
  </w:style>
  <w:style w:type="paragraph" w:customStyle="1" w:styleId="63">
    <w:name w:val="五级无"/>
    <w:basedOn w:val="64"/>
    <w:qFormat/>
    <w:uiPriority w:val="0"/>
    <w:pPr>
      <w:spacing w:before="0" w:beforeLines="0" w:after="0" w:afterLines="0"/>
    </w:pPr>
    <w:rPr>
      <w:rFonts w:ascii="宋体" w:eastAsia="宋体"/>
    </w:rPr>
  </w:style>
  <w:style w:type="paragraph" w:customStyle="1" w:styleId="64">
    <w:name w:val="五级条标题"/>
    <w:basedOn w:val="65"/>
    <w:next w:val="27"/>
    <w:qFormat/>
    <w:uiPriority w:val="0"/>
    <w:pPr>
      <w:outlineLvl w:val="6"/>
    </w:pPr>
  </w:style>
  <w:style w:type="paragraph" w:customStyle="1" w:styleId="65">
    <w:name w:val="四级条标题"/>
    <w:basedOn w:val="66"/>
    <w:next w:val="27"/>
    <w:qFormat/>
    <w:uiPriority w:val="0"/>
    <w:pPr>
      <w:outlineLvl w:val="5"/>
    </w:pPr>
  </w:style>
  <w:style w:type="paragraph" w:customStyle="1" w:styleId="66">
    <w:name w:val="三级条标题"/>
    <w:basedOn w:val="67"/>
    <w:next w:val="27"/>
    <w:qFormat/>
    <w:uiPriority w:val="0"/>
    <w:pPr>
      <w:outlineLvl w:val="4"/>
    </w:pPr>
  </w:style>
  <w:style w:type="paragraph" w:customStyle="1" w:styleId="67">
    <w:name w:val="二级条标题"/>
    <w:basedOn w:val="57"/>
    <w:next w:val="27"/>
    <w:qFormat/>
    <w:uiPriority w:val="0"/>
    <w:pPr>
      <w:spacing w:before="50" w:after="50"/>
      <w:outlineLvl w:val="3"/>
    </w:pPr>
  </w:style>
  <w:style w:type="paragraph" w:customStyle="1" w:styleId="68">
    <w:name w:val="封面标准名称2"/>
    <w:basedOn w:val="55"/>
    <w:qFormat/>
    <w:uiPriority w:val="0"/>
    <w:pPr>
      <w:framePr w:y="4469"/>
      <w:spacing w:before="630" w:beforeLines="630"/>
    </w:pPr>
  </w:style>
  <w:style w:type="paragraph" w:customStyle="1" w:styleId="69">
    <w:name w:val="图表脚注说明"/>
    <w:basedOn w:val="1"/>
    <w:qFormat/>
    <w:uiPriority w:val="0"/>
    <w:pPr>
      <w:numPr>
        <w:ilvl w:val="0"/>
        <w:numId w:val="6"/>
      </w:numPr>
    </w:pPr>
    <w:rPr>
      <w:rFonts w:ascii="宋体"/>
      <w:sz w:val="18"/>
      <w:szCs w:val="18"/>
    </w:rPr>
  </w:style>
  <w:style w:type="paragraph" w:customStyle="1" w:styleId="70">
    <w:name w:val="附录公式编号制表符"/>
    <w:basedOn w:val="1"/>
    <w:next w:val="27"/>
    <w:qFormat/>
    <w:uiPriority w:val="0"/>
    <w:pPr>
      <w:widowControl/>
      <w:tabs>
        <w:tab w:val="center" w:pos="4201"/>
        <w:tab w:val="right" w:leader="dot" w:pos="9298"/>
      </w:tabs>
      <w:autoSpaceDE w:val="0"/>
      <w:autoSpaceDN w:val="0"/>
    </w:pPr>
    <w:rPr>
      <w:rFonts w:ascii="宋体"/>
      <w:kern w:val="0"/>
      <w:szCs w:val="20"/>
    </w:rPr>
  </w:style>
  <w:style w:type="paragraph" w:customStyle="1" w:styleId="7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72">
    <w:name w:val="示例后文字"/>
    <w:basedOn w:val="27"/>
    <w:next w:val="27"/>
    <w:qFormat/>
    <w:uiPriority w:val="0"/>
    <w:pPr>
      <w:ind w:firstLine="360"/>
    </w:pPr>
    <w:rPr>
      <w:sz w:val="18"/>
    </w:rPr>
  </w:style>
  <w:style w:type="paragraph" w:customStyle="1" w:styleId="73">
    <w:name w:val="章标题"/>
    <w:next w:val="1"/>
    <w:qFormat/>
    <w:uiPriority w:val="0"/>
    <w:pPr>
      <w:numPr>
        <w:ilvl w:val="0"/>
        <w:numId w:val="7"/>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74">
    <w:name w:val="附录四级无"/>
    <w:basedOn w:val="75"/>
    <w:qFormat/>
    <w:uiPriority w:val="0"/>
    <w:pPr>
      <w:tabs>
        <w:tab w:val="left" w:pos="360"/>
      </w:tabs>
      <w:spacing w:before="0" w:beforeLines="0" w:after="0" w:afterLines="0"/>
    </w:pPr>
    <w:rPr>
      <w:rFonts w:ascii="宋体" w:eastAsia="宋体"/>
      <w:szCs w:val="21"/>
    </w:rPr>
  </w:style>
  <w:style w:type="paragraph" w:customStyle="1" w:styleId="75">
    <w:name w:val="附录四级条标题"/>
    <w:basedOn w:val="76"/>
    <w:next w:val="27"/>
    <w:qFormat/>
    <w:uiPriority w:val="0"/>
    <w:pPr>
      <w:numPr>
        <w:ilvl w:val="0"/>
        <w:numId w:val="0"/>
      </w:numPr>
      <w:tabs>
        <w:tab w:val="left" w:pos="360"/>
      </w:tabs>
      <w:outlineLvl w:val="5"/>
    </w:pPr>
  </w:style>
  <w:style w:type="paragraph" w:customStyle="1" w:styleId="76">
    <w:name w:val="附录三级条标题"/>
    <w:basedOn w:val="77"/>
    <w:next w:val="27"/>
    <w:qFormat/>
    <w:uiPriority w:val="0"/>
    <w:pPr>
      <w:numPr>
        <w:ilvl w:val="4"/>
      </w:numPr>
      <w:tabs>
        <w:tab w:val="left" w:pos="360"/>
      </w:tabs>
      <w:outlineLvl w:val="4"/>
    </w:pPr>
  </w:style>
  <w:style w:type="paragraph" w:customStyle="1" w:styleId="77">
    <w:name w:val="附录二级条标题"/>
    <w:basedOn w:val="1"/>
    <w:next w:val="27"/>
    <w:qFormat/>
    <w:uiPriority w:val="0"/>
    <w:pPr>
      <w:widowControl/>
      <w:numPr>
        <w:ilvl w:val="3"/>
        <w:numId w:val="8"/>
      </w:numPr>
      <w:tabs>
        <w:tab w:val="left" w:pos="360"/>
      </w:tabs>
      <w:wordWrap w:val="0"/>
      <w:overflowPunct w:val="0"/>
      <w:autoSpaceDE w:val="0"/>
      <w:autoSpaceDN w:val="0"/>
      <w:spacing w:before="50" w:beforeLines="50" w:after="50" w:afterLines="50"/>
      <w:textAlignment w:val="baseline"/>
      <w:outlineLvl w:val="3"/>
    </w:pPr>
    <w:rPr>
      <w:rFonts w:ascii="黑体" w:eastAsia="黑体"/>
      <w:kern w:val="21"/>
      <w:szCs w:val="20"/>
    </w:rPr>
  </w:style>
  <w:style w:type="paragraph" w:customStyle="1" w:styleId="78">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79">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80">
    <w:name w:val="标准书眉_奇数页"/>
    <w:next w:val="1"/>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81">
    <w:name w:val="目次、标准名称标题"/>
    <w:basedOn w:val="1"/>
    <w:next w:val="27"/>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82">
    <w:name w:val="示例"/>
    <w:next w:val="83"/>
    <w:qFormat/>
    <w:uiPriority w:val="0"/>
    <w:pPr>
      <w:widowControl w:val="0"/>
      <w:numPr>
        <w:ilvl w:val="0"/>
        <w:numId w:val="9"/>
      </w:numPr>
      <w:jc w:val="both"/>
    </w:pPr>
    <w:rPr>
      <w:rFonts w:ascii="宋体" w:hAnsi="Times New Roman" w:eastAsia="宋体" w:cs="Times New Roman"/>
      <w:sz w:val="18"/>
      <w:szCs w:val="18"/>
      <w:lang w:val="en-US" w:eastAsia="zh-CN" w:bidi="ar-SA"/>
    </w:rPr>
  </w:style>
  <w:style w:type="paragraph" w:customStyle="1" w:styleId="83">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84">
    <w:name w:val="前言、引言标题"/>
    <w:next w:val="27"/>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85">
    <w:name w:val="注×：（正文）"/>
    <w:qFormat/>
    <w:uiPriority w:val="0"/>
    <w:pPr>
      <w:numPr>
        <w:ilvl w:val="0"/>
        <w:numId w:val="10"/>
      </w:numPr>
      <w:jc w:val="both"/>
    </w:pPr>
    <w:rPr>
      <w:rFonts w:ascii="宋体" w:hAnsi="Times New Roman" w:eastAsia="宋体" w:cs="Times New Roman"/>
      <w:sz w:val="18"/>
      <w:szCs w:val="18"/>
      <w:lang w:val="en-US" w:eastAsia="zh-CN" w:bidi="ar-SA"/>
    </w:rPr>
  </w:style>
  <w:style w:type="paragraph" w:customStyle="1" w:styleId="86">
    <w:name w:val="附录数字编号列项（二级）"/>
    <w:qFormat/>
    <w:uiPriority w:val="0"/>
    <w:pPr>
      <w:numPr>
        <w:ilvl w:val="1"/>
        <w:numId w:val="11"/>
      </w:numPr>
    </w:pPr>
    <w:rPr>
      <w:rFonts w:ascii="宋体" w:hAnsi="Times New Roman" w:eastAsia="宋体" w:cs="Times New Roman"/>
      <w:sz w:val="21"/>
      <w:lang w:val="en-US" w:eastAsia="zh-CN" w:bidi="ar-SA"/>
    </w:rPr>
  </w:style>
  <w:style w:type="paragraph" w:customStyle="1" w:styleId="87">
    <w:name w:val="三级无"/>
    <w:basedOn w:val="66"/>
    <w:qFormat/>
    <w:uiPriority w:val="0"/>
    <w:pPr>
      <w:spacing w:before="0" w:beforeLines="0" w:after="0" w:afterLines="0"/>
    </w:pPr>
    <w:rPr>
      <w:rFonts w:ascii="宋体" w:eastAsia="宋体"/>
    </w:rPr>
  </w:style>
  <w:style w:type="paragraph" w:customStyle="1" w:styleId="88">
    <w:name w:val="附录一级无"/>
    <w:basedOn w:val="89"/>
    <w:qFormat/>
    <w:uiPriority w:val="0"/>
    <w:pPr>
      <w:tabs>
        <w:tab w:val="left" w:pos="360"/>
      </w:tabs>
      <w:spacing w:before="0" w:beforeLines="0" w:after="0" w:afterLines="0"/>
    </w:pPr>
    <w:rPr>
      <w:rFonts w:ascii="宋体" w:eastAsia="宋体"/>
      <w:szCs w:val="21"/>
    </w:rPr>
  </w:style>
  <w:style w:type="paragraph" w:customStyle="1" w:styleId="89">
    <w:name w:val="附录一级条标题"/>
    <w:basedOn w:val="90"/>
    <w:next w:val="27"/>
    <w:qFormat/>
    <w:uiPriority w:val="0"/>
    <w:pPr>
      <w:numPr>
        <w:ilvl w:val="0"/>
        <w:numId w:val="0"/>
      </w:numPr>
      <w:tabs>
        <w:tab w:val="left" w:pos="360"/>
      </w:tabs>
      <w:autoSpaceDN w:val="0"/>
      <w:spacing w:before="50" w:beforeLines="50" w:after="50" w:afterLines="50"/>
      <w:outlineLvl w:val="2"/>
    </w:pPr>
  </w:style>
  <w:style w:type="paragraph" w:customStyle="1" w:styleId="90">
    <w:name w:val="附录章标题"/>
    <w:next w:val="27"/>
    <w:qFormat/>
    <w:uiPriority w:val="0"/>
    <w:pPr>
      <w:numPr>
        <w:ilvl w:val="1"/>
        <w:numId w:val="8"/>
      </w:numPr>
      <w:tabs>
        <w:tab w:val="left" w:pos="360"/>
      </w:tabs>
      <w:wordWrap w:val="0"/>
      <w:overflowPunct w:val="0"/>
      <w:autoSpaceDE w:val="0"/>
      <w:spacing w:before="100" w:beforeLines="100" w:after="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91">
    <w:name w:val="四级无"/>
    <w:basedOn w:val="65"/>
    <w:qFormat/>
    <w:uiPriority w:val="0"/>
    <w:pPr>
      <w:spacing w:before="0" w:beforeLines="0" w:after="0" w:afterLines="0"/>
    </w:pPr>
    <w:rPr>
      <w:rFonts w:ascii="宋体" w:eastAsia="宋体"/>
    </w:rPr>
  </w:style>
  <w:style w:type="paragraph" w:customStyle="1" w:styleId="92">
    <w:name w:val="字母编号列项（一级）"/>
    <w:qFormat/>
    <w:uiPriority w:val="0"/>
    <w:pPr>
      <w:numPr>
        <w:ilvl w:val="0"/>
        <w:numId w:val="12"/>
      </w:numPr>
      <w:jc w:val="both"/>
    </w:pPr>
    <w:rPr>
      <w:rFonts w:ascii="宋体" w:hAnsi="Times New Roman" w:eastAsia="宋体" w:cs="Times New Roman"/>
      <w:sz w:val="21"/>
      <w:lang w:val="en-US" w:eastAsia="zh-CN" w:bidi="ar-SA"/>
    </w:rPr>
  </w:style>
  <w:style w:type="paragraph" w:customStyle="1" w:styleId="93">
    <w:name w:val="标准书脚_偶数页"/>
    <w:qFormat/>
    <w:uiPriority w:val="0"/>
    <w:pPr>
      <w:spacing w:before="120"/>
      <w:ind w:left="221"/>
    </w:pPr>
    <w:rPr>
      <w:rFonts w:ascii="宋体" w:hAnsi="Times New Roman" w:eastAsia="宋体" w:cs="Times New Roman"/>
      <w:sz w:val="18"/>
      <w:szCs w:val="18"/>
      <w:lang w:val="en-US" w:eastAsia="zh-CN" w:bidi="ar-SA"/>
    </w:rPr>
  </w:style>
  <w:style w:type="paragraph" w:customStyle="1" w:styleId="94">
    <w:name w:val="列项说明数字编号"/>
    <w:qFormat/>
    <w:uiPriority w:val="0"/>
    <w:pPr>
      <w:ind w:left="600" w:leftChars="400" w:hanging="200" w:hangingChars="200"/>
    </w:pPr>
    <w:rPr>
      <w:rFonts w:ascii="宋体" w:hAnsi="Times New Roman" w:eastAsia="宋体" w:cs="Times New Roman"/>
      <w:sz w:val="21"/>
      <w:lang w:val="en-US" w:eastAsia="zh-CN" w:bidi="ar-SA"/>
    </w:rPr>
  </w:style>
  <w:style w:type="paragraph" w:customStyle="1" w:styleId="95">
    <w:name w:val="附录标识"/>
    <w:basedOn w:val="1"/>
    <w:next w:val="27"/>
    <w:qFormat/>
    <w:uiPriority w:val="0"/>
    <w:pPr>
      <w:keepNext/>
      <w:widowControl/>
      <w:numPr>
        <w:ilvl w:val="0"/>
        <w:numId w:val="8"/>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96">
    <w:name w:val="附录表标题"/>
    <w:basedOn w:val="1"/>
    <w:next w:val="27"/>
    <w:qFormat/>
    <w:uiPriority w:val="0"/>
    <w:pPr>
      <w:numPr>
        <w:ilvl w:val="1"/>
        <w:numId w:val="13"/>
      </w:numPr>
      <w:tabs>
        <w:tab w:val="left" w:pos="180"/>
      </w:tabs>
      <w:spacing w:before="50" w:beforeLines="50" w:after="50" w:afterLines="50"/>
      <w:ind w:left="0" w:firstLine="0"/>
      <w:jc w:val="center"/>
    </w:pPr>
    <w:rPr>
      <w:rFonts w:ascii="黑体" w:eastAsia="黑体"/>
      <w:szCs w:val="21"/>
    </w:rPr>
  </w:style>
  <w:style w:type="paragraph" w:customStyle="1" w:styleId="97">
    <w:name w:val="附录字母编号列项（一级）"/>
    <w:qFormat/>
    <w:uiPriority w:val="0"/>
    <w:pPr>
      <w:numPr>
        <w:ilvl w:val="0"/>
        <w:numId w:val="11"/>
      </w:numPr>
    </w:pPr>
    <w:rPr>
      <w:rFonts w:ascii="宋体" w:hAnsi="Times New Roman" w:eastAsia="宋体" w:cs="Times New Roman"/>
      <w:sz w:val="21"/>
      <w:lang w:val="en-US" w:eastAsia="zh-CN" w:bidi="ar-SA"/>
    </w:rPr>
  </w:style>
  <w:style w:type="paragraph" w:customStyle="1" w:styleId="98">
    <w:name w:val="实施日期"/>
    <w:basedOn w:val="99"/>
    <w:qFormat/>
    <w:uiPriority w:val="0"/>
    <w:pPr>
      <w:framePr w:vAnchor="page" w:hAnchor="text"/>
      <w:jc w:val="right"/>
    </w:pPr>
  </w:style>
  <w:style w:type="paragraph" w:customStyle="1" w:styleId="99">
    <w:name w:val="发布日期"/>
    <w:qFormat/>
    <w:uiPriority w:val="0"/>
    <w:pPr>
      <w:framePr w:w="3997" w:h="471" w:hRule="exact" w:vSpace="181" w:wrap="around" w:vAnchor="margin" w:hAnchor="page" w:x="7089" w:y="14097" w:anchorLock="1"/>
    </w:pPr>
    <w:rPr>
      <w:rFonts w:ascii="Times New Roman" w:hAnsi="Times New Roman" w:eastAsia="黑体" w:cs="Times New Roman"/>
      <w:sz w:val="28"/>
      <w:lang w:val="en-US" w:eastAsia="zh-CN" w:bidi="ar-SA"/>
    </w:rPr>
  </w:style>
  <w:style w:type="paragraph" w:customStyle="1" w:styleId="100">
    <w:name w:val="编号列项（三级）"/>
    <w:qFormat/>
    <w:uiPriority w:val="0"/>
    <w:pPr>
      <w:numPr>
        <w:ilvl w:val="2"/>
        <w:numId w:val="12"/>
      </w:numPr>
    </w:pPr>
    <w:rPr>
      <w:rFonts w:ascii="宋体" w:hAnsi="Times New Roman" w:eastAsia="宋体" w:cs="Times New Roman"/>
      <w:sz w:val="21"/>
      <w:lang w:val="en-US" w:eastAsia="zh-CN" w:bidi="ar-SA"/>
    </w:rPr>
  </w:style>
  <w:style w:type="paragraph" w:customStyle="1" w:styleId="101">
    <w:name w:val="列项●（二级）"/>
    <w:qFormat/>
    <w:uiPriority w:val="0"/>
    <w:pPr>
      <w:numPr>
        <w:ilvl w:val="1"/>
        <w:numId w:val="14"/>
      </w:numPr>
      <w:tabs>
        <w:tab w:val="left" w:pos="840"/>
      </w:tabs>
      <w:jc w:val="both"/>
    </w:pPr>
    <w:rPr>
      <w:rFonts w:ascii="宋体" w:hAnsi="Times New Roman" w:eastAsia="宋体" w:cs="Times New Roman"/>
      <w:sz w:val="21"/>
      <w:lang w:val="en-US" w:eastAsia="zh-CN" w:bidi="ar-SA"/>
    </w:rPr>
  </w:style>
  <w:style w:type="paragraph" w:customStyle="1" w:styleId="102">
    <w:name w:val="注：（正文）"/>
    <w:basedOn w:val="103"/>
    <w:next w:val="27"/>
    <w:qFormat/>
    <w:uiPriority w:val="0"/>
  </w:style>
  <w:style w:type="paragraph" w:customStyle="1" w:styleId="103">
    <w:name w:val="注："/>
    <w:next w:val="27"/>
    <w:qFormat/>
    <w:uiPriority w:val="0"/>
    <w:pPr>
      <w:widowControl w:val="0"/>
      <w:autoSpaceDE w:val="0"/>
      <w:autoSpaceDN w:val="0"/>
      <w:ind w:left="726" w:hanging="363"/>
      <w:jc w:val="both"/>
    </w:pPr>
    <w:rPr>
      <w:rFonts w:ascii="宋体" w:hAnsi="Times New Roman" w:eastAsia="宋体" w:cs="Times New Roman"/>
      <w:sz w:val="18"/>
      <w:szCs w:val="18"/>
      <w:lang w:val="en-US" w:eastAsia="zh-CN" w:bidi="ar-SA"/>
    </w:rPr>
  </w:style>
  <w:style w:type="paragraph" w:customStyle="1" w:styleId="104">
    <w:name w:val="条文脚注"/>
    <w:basedOn w:val="28"/>
    <w:qFormat/>
    <w:uiPriority w:val="0"/>
    <w:pPr>
      <w:numPr>
        <w:numId w:val="0"/>
      </w:numPr>
      <w:jc w:val="both"/>
    </w:pPr>
  </w:style>
  <w:style w:type="paragraph" w:customStyle="1" w:styleId="105">
    <w:name w:val="其他发布部门"/>
    <w:basedOn w:val="106"/>
    <w:qFormat/>
    <w:uiPriority w:val="0"/>
    <w:pPr>
      <w:framePr w:y="15310"/>
      <w:spacing w:line="0" w:lineRule="atLeast"/>
    </w:pPr>
    <w:rPr>
      <w:rFonts w:ascii="黑体" w:eastAsia="黑体"/>
      <w:b w:val="0"/>
    </w:rPr>
  </w:style>
  <w:style w:type="paragraph" w:customStyle="1" w:styleId="106">
    <w:name w:val="发布部门"/>
    <w:next w:val="27"/>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paragraph" w:customStyle="1" w:styleId="107">
    <w:name w:val="封面标准代替信息"/>
    <w:qFormat/>
    <w:uiPriority w:val="0"/>
    <w:pPr>
      <w:framePr w:w="9140" w:h="1242" w:hRule="exact" w:hSpace="284" w:wrap="around" w:vAnchor="page" w:hAnchor="page" w:x="1645" w:y="2910" w:anchorLock="1"/>
      <w:spacing w:before="57" w:line="280" w:lineRule="exact"/>
      <w:jc w:val="right"/>
    </w:pPr>
    <w:rPr>
      <w:rFonts w:ascii="宋体" w:hAnsi="Times New Roman" w:eastAsia="宋体" w:cs="Times New Roman"/>
      <w:sz w:val="21"/>
      <w:szCs w:val="21"/>
      <w:lang w:val="en-US" w:eastAsia="zh-CN" w:bidi="ar-SA"/>
    </w:rPr>
  </w:style>
  <w:style w:type="paragraph" w:customStyle="1" w:styleId="108">
    <w:name w:val="附录二级无"/>
    <w:basedOn w:val="77"/>
    <w:qFormat/>
    <w:uiPriority w:val="0"/>
    <w:pPr>
      <w:tabs>
        <w:tab w:val="clear" w:pos="360"/>
      </w:tabs>
      <w:spacing w:before="0" w:beforeLines="0" w:after="0" w:afterLines="0"/>
    </w:pPr>
    <w:rPr>
      <w:rFonts w:ascii="宋体" w:eastAsia="宋体"/>
      <w:szCs w:val="21"/>
    </w:rPr>
  </w:style>
  <w:style w:type="paragraph" w:customStyle="1" w:styleId="109">
    <w:name w:val="附录表标号"/>
    <w:basedOn w:val="1"/>
    <w:next w:val="27"/>
    <w:qFormat/>
    <w:uiPriority w:val="0"/>
    <w:pPr>
      <w:numPr>
        <w:ilvl w:val="0"/>
        <w:numId w:val="13"/>
      </w:numPr>
      <w:tabs>
        <w:tab w:val="clear" w:pos="0"/>
      </w:tabs>
      <w:spacing w:line="14" w:lineRule="exact"/>
      <w:ind w:left="811" w:hanging="448"/>
      <w:jc w:val="center"/>
      <w:outlineLvl w:val="0"/>
    </w:pPr>
    <w:rPr>
      <w:color w:val="FFFFFF"/>
    </w:rPr>
  </w:style>
  <w:style w:type="paragraph" w:customStyle="1" w:styleId="110">
    <w:name w:val="标准标志"/>
    <w:next w:val="1"/>
    <w:qFormat/>
    <w:uiPriority w:val="0"/>
    <w:pPr>
      <w:framePr w:w="2546" w:h="1389" w:hRule="exact" w:hSpace="181" w:vSpace="181" w:wrap="around" w:vAnchor="margin" w:hAnchor="margin" w:x="6522" w:y="398" w:anchorLock="1"/>
      <w:shd w:val="solid" w:color="FFFFFF" w:fill="FFFFFF"/>
      <w:spacing w:line="0" w:lineRule="atLeast"/>
      <w:jc w:val="right"/>
    </w:pPr>
    <w:rPr>
      <w:rFonts w:ascii="Times New Roman" w:hAnsi="Times New Roman" w:eastAsia="宋体" w:cs="Times New Roman"/>
      <w:b/>
      <w:w w:val="170"/>
      <w:sz w:val="96"/>
      <w:szCs w:val="96"/>
      <w:lang w:val="en-US" w:eastAsia="zh-CN" w:bidi="ar-SA"/>
    </w:rPr>
  </w:style>
  <w:style w:type="paragraph" w:customStyle="1" w:styleId="111">
    <w:name w:val="列项——（一级）"/>
    <w:qFormat/>
    <w:uiPriority w:val="0"/>
    <w:pPr>
      <w:widowControl w:val="0"/>
      <w:numPr>
        <w:ilvl w:val="0"/>
        <w:numId w:val="14"/>
      </w:numPr>
      <w:jc w:val="both"/>
    </w:pPr>
    <w:rPr>
      <w:rFonts w:ascii="宋体" w:hAnsi="Times New Roman" w:eastAsia="宋体" w:cs="Times New Roman"/>
      <w:sz w:val="21"/>
      <w:lang w:val="en-US" w:eastAsia="zh-CN" w:bidi="ar-SA"/>
    </w:rPr>
  </w:style>
  <w:style w:type="paragraph" w:customStyle="1" w:styleId="112">
    <w:name w:val="封面标准号2"/>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113">
    <w:name w:val="其他实施日期"/>
    <w:basedOn w:val="98"/>
    <w:qFormat/>
    <w:uiPriority w:val="0"/>
  </w:style>
  <w:style w:type="paragraph" w:customStyle="1" w:styleId="114">
    <w:name w:val="示例×："/>
    <w:basedOn w:val="73"/>
    <w:qFormat/>
    <w:uiPriority w:val="0"/>
    <w:pPr>
      <w:numPr>
        <w:numId w:val="15"/>
      </w:numPr>
      <w:spacing w:before="0" w:beforeLines="0" w:after="0" w:afterLines="0"/>
      <w:outlineLvl w:val="9"/>
    </w:pPr>
    <w:rPr>
      <w:rFonts w:ascii="宋体" w:eastAsia="宋体"/>
      <w:sz w:val="18"/>
      <w:szCs w:val="18"/>
    </w:rPr>
  </w:style>
  <w:style w:type="paragraph" w:customStyle="1" w:styleId="115">
    <w:name w:val="列项说明"/>
    <w:basedOn w:val="1"/>
    <w:qFormat/>
    <w:uiPriority w:val="0"/>
    <w:pPr>
      <w:adjustRightInd w:val="0"/>
      <w:spacing w:line="320" w:lineRule="exact"/>
      <w:ind w:left="400" w:leftChars="200" w:hanging="200" w:hangingChars="200"/>
      <w:jc w:val="left"/>
      <w:textAlignment w:val="baseline"/>
    </w:pPr>
    <w:rPr>
      <w:rFonts w:ascii="宋体"/>
      <w:kern w:val="0"/>
      <w:szCs w:val="20"/>
    </w:rPr>
  </w:style>
  <w:style w:type="paragraph" w:customStyle="1" w:styleId="116">
    <w:name w:val="标准书眉一"/>
    <w:qFormat/>
    <w:uiPriority w:val="0"/>
    <w:pPr>
      <w:jc w:val="both"/>
    </w:pPr>
    <w:rPr>
      <w:rFonts w:ascii="Times New Roman" w:hAnsi="Times New Roman" w:eastAsia="宋体" w:cs="Times New Roman"/>
      <w:lang w:val="en-US" w:eastAsia="zh-CN" w:bidi="ar-SA"/>
    </w:rPr>
  </w:style>
  <w:style w:type="paragraph" w:customStyle="1" w:styleId="117">
    <w:name w:val="附录五级条标题"/>
    <w:basedOn w:val="75"/>
    <w:next w:val="27"/>
    <w:qFormat/>
    <w:uiPriority w:val="0"/>
    <w:pPr>
      <w:numPr>
        <w:ilvl w:val="6"/>
      </w:numPr>
      <w:outlineLvl w:val="6"/>
    </w:pPr>
  </w:style>
  <w:style w:type="paragraph" w:customStyle="1" w:styleId="118">
    <w:name w:val="注×："/>
    <w:qFormat/>
    <w:uiPriority w:val="0"/>
    <w:pPr>
      <w:widowControl w:val="0"/>
      <w:numPr>
        <w:ilvl w:val="0"/>
        <w:numId w:val="16"/>
      </w:numPr>
      <w:autoSpaceDE w:val="0"/>
      <w:autoSpaceDN w:val="0"/>
      <w:jc w:val="both"/>
    </w:pPr>
    <w:rPr>
      <w:rFonts w:ascii="宋体" w:hAnsi="Times New Roman" w:eastAsia="宋体" w:cs="Times New Roman"/>
      <w:sz w:val="18"/>
      <w:szCs w:val="18"/>
      <w:lang w:val="en-US" w:eastAsia="zh-CN" w:bidi="ar-SA"/>
    </w:rPr>
  </w:style>
  <w:style w:type="paragraph" w:customStyle="1" w:styleId="119">
    <w:name w:val="封面标准文稿编辑信息2"/>
    <w:basedOn w:val="120"/>
    <w:qFormat/>
    <w:uiPriority w:val="0"/>
    <w:pPr>
      <w:framePr w:y="4469"/>
    </w:pPr>
  </w:style>
  <w:style w:type="paragraph" w:customStyle="1" w:styleId="120">
    <w:name w:val="封面标准文稿编辑信息"/>
    <w:basedOn w:val="59"/>
    <w:qFormat/>
    <w:uiPriority w:val="0"/>
    <w:pPr>
      <w:spacing w:before="180" w:line="180" w:lineRule="exact"/>
    </w:pPr>
    <w:rPr>
      <w:sz w:val="21"/>
    </w:rPr>
  </w:style>
  <w:style w:type="paragraph" w:customStyle="1" w:styleId="121">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paragraph" w:customStyle="1" w:styleId="122">
    <w:name w:val="参考文献、索引标题"/>
    <w:basedOn w:val="1"/>
    <w:next w:val="27"/>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123">
    <w:name w:val="封面正文"/>
    <w:qFormat/>
    <w:uiPriority w:val="0"/>
    <w:pPr>
      <w:jc w:val="both"/>
    </w:pPr>
    <w:rPr>
      <w:rFonts w:ascii="Times New Roman" w:hAnsi="Times New Roman" w:eastAsia="宋体" w:cs="Times New Roman"/>
      <w:lang w:val="en-US" w:eastAsia="zh-CN" w:bidi="ar-SA"/>
    </w:rPr>
  </w:style>
  <w:style w:type="paragraph" w:customStyle="1" w:styleId="124">
    <w:name w:val="附录五级无"/>
    <w:basedOn w:val="117"/>
    <w:qFormat/>
    <w:uiPriority w:val="0"/>
    <w:pPr>
      <w:tabs>
        <w:tab w:val="clear" w:pos="360"/>
      </w:tabs>
      <w:spacing w:before="0" w:beforeLines="0" w:after="0" w:afterLines="0"/>
    </w:pPr>
    <w:rPr>
      <w:rFonts w:ascii="宋体" w:eastAsia="宋体"/>
      <w:szCs w:val="21"/>
    </w:rPr>
  </w:style>
  <w:style w:type="paragraph" w:customStyle="1" w:styleId="125">
    <w:name w:val="标准书眉_偶数页"/>
    <w:basedOn w:val="80"/>
    <w:next w:val="1"/>
    <w:qFormat/>
    <w:uiPriority w:val="0"/>
    <w:pPr>
      <w:jc w:val="left"/>
    </w:pPr>
  </w:style>
  <w:style w:type="paragraph" w:customStyle="1" w:styleId="126">
    <w:name w:val="附录图标题"/>
    <w:basedOn w:val="1"/>
    <w:next w:val="27"/>
    <w:qFormat/>
    <w:uiPriority w:val="0"/>
    <w:pPr>
      <w:numPr>
        <w:ilvl w:val="1"/>
        <w:numId w:val="17"/>
      </w:numPr>
      <w:tabs>
        <w:tab w:val="left" w:pos="363"/>
      </w:tabs>
      <w:spacing w:before="50" w:beforeLines="50" w:after="50" w:afterLines="50"/>
      <w:ind w:left="0" w:firstLine="0"/>
      <w:jc w:val="center"/>
    </w:pPr>
    <w:rPr>
      <w:rFonts w:ascii="黑体" w:eastAsia="黑体"/>
      <w:szCs w:val="21"/>
    </w:rPr>
  </w:style>
  <w:style w:type="paragraph" w:customStyle="1" w:styleId="127">
    <w:name w:val="二级无"/>
    <w:basedOn w:val="67"/>
    <w:qFormat/>
    <w:uiPriority w:val="0"/>
    <w:pPr>
      <w:spacing w:before="0" w:beforeLines="0" w:after="0" w:afterLines="0"/>
    </w:pPr>
    <w:rPr>
      <w:rFonts w:ascii="宋体" w:eastAsia="宋体"/>
    </w:rPr>
  </w:style>
  <w:style w:type="paragraph" w:customStyle="1" w:styleId="128">
    <w:name w:val="附录三级无"/>
    <w:basedOn w:val="76"/>
    <w:qFormat/>
    <w:uiPriority w:val="0"/>
    <w:pPr>
      <w:tabs>
        <w:tab w:val="clear" w:pos="360"/>
      </w:tabs>
      <w:spacing w:before="0" w:beforeLines="0" w:after="0" w:afterLines="0"/>
    </w:pPr>
    <w:rPr>
      <w:rFonts w:ascii="宋体" w:eastAsia="宋体"/>
      <w:szCs w:val="21"/>
    </w:rPr>
  </w:style>
  <w:style w:type="paragraph" w:customStyle="1" w:styleId="129">
    <w:name w:val="其他发布日期"/>
    <w:basedOn w:val="99"/>
    <w:qFormat/>
    <w:uiPriority w:val="0"/>
    <w:pPr>
      <w:framePr w:vAnchor="page" w:hAnchor="text" w:x="1419"/>
    </w:pPr>
  </w:style>
  <w:style w:type="paragraph" w:customStyle="1" w:styleId="130">
    <w:name w:val="数字编号列项（二级）"/>
    <w:qFormat/>
    <w:uiPriority w:val="0"/>
    <w:pPr>
      <w:tabs>
        <w:tab w:val="left" w:pos="1259"/>
      </w:tabs>
      <w:ind w:left="1259" w:hanging="420"/>
      <w:jc w:val="both"/>
    </w:pPr>
    <w:rPr>
      <w:rFonts w:ascii="宋体" w:hAnsi="Times New Roman" w:eastAsia="宋体" w:cs="Times New Roman"/>
      <w:sz w:val="21"/>
      <w:lang w:val="en-US" w:eastAsia="zh-CN" w:bidi="ar-SA"/>
    </w:rPr>
  </w:style>
  <w:style w:type="paragraph" w:customStyle="1" w:styleId="131">
    <w:name w:val="标准称谓"/>
    <w:next w:val="1"/>
    <w:qFormat/>
    <w:uiPriority w:val="0"/>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48"/>
      <w:lang w:val="en-US" w:eastAsia="zh-CN" w:bidi="ar-SA"/>
    </w:rPr>
  </w:style>
  <w:style w:type="paragraph" w:customStyle="1" w:styleId="132">
    <w:name w:val="列项◆（三级）"/>
    <w:basedOn w:val="1"/>
    <w:qFormat/>
    <w:uiPriority w:val="0"/>
    <w:pPr>
      <w:numPr>
        <w:ilvl w:val="2"/>
        <w:numId w:val="14"/>
      </w:numPr>
    </w:pPr>
    <w:rPr>
      <w:rFonts w:ascii="宋体"/>
      <w:szCs w:val="21"/>
    </w:rPr>
  </w:style>
  <w:style w:type="paragraph" w:customStyle="1" w:styleId="133">
    <w:name w:val="附录标题"/>
    <w:basedOn w:val="27"/>
    <w:next w:val="27"/>
    <w:qFormat/>
    <w:uiPriority w:val="0"/>
    <w:pPr>
      <w:ind w:firstLine="0" w:firstLineChars="0"/>
      <w:jc w:val="center"/>
    </w:pPr>
    <w:rPr>
      <w:rFonts w:ascii="黑体" w:eastAsia="黑体"/>
    </w:rPr>
  </w:style>
  <w:style w:type="paragraph" w:customStyle="1" w:styleId="134">
    <w:name w:val="附录图标号"/>
    <w:basedOn w:val="1"/>
    <w:qFormat/>
    <w:uiPriority w:val="0"/>
    <w:pPr>
      <w:keepNext/>
      <w:pageBreakBefore/>
      <w:widowControl/>
      <w:numPr>
        <w:ilvl w:val="0"/>
        <w:numId w:val="17"/>
      </w:numPr>
      <w:spacing w:line="14" w:lineRule="exact"/>
      <w:ind w:left="0" w:firstLine="363"/>
      <w:jc w:val="center"/>
      <w:outlineLvl w:val="0"/>
    </w:pPr>
    <w:rPr>
      <w:color w:val="FFFFFF"/>
    </w:rPr>
  </w:style>
  <w:style w:type="paragraph" w:customStyle="1" w:styleId="135">
    <w:name w:val="参考文献"/>
    <w:basedOn w:val="1"/>
    <w:next w:val="27"/>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136">
    <w:name w:val="其他标准标志"/>
    <w:basedOn w:val="110"/>
    <w:qFormat/>
    <w:uiPriority w:val="0"/>
    <w:pPr>
      <w:framePr w:w="6101" w:vAnchor="page" w:hAnchor="page" w:x="4673" w:y="942"/>
    </w:pPr>
    <w:rPr>
      <w:w w:val="130"/>
    </w:rPr>
  </w:style>
  <w:style w:type="paragraph" w:customStyle="1" w:styleId="137">
    <w:name w:val="图标脚注说明"/>
    <w:basedOn w:val="27"/>
    <w:qFormat/>
    <w:uiPriority w:val="0"/>
    <w:pPr>
      <w:ind w:left="840" w:hanging="420" w:firstLineChars="0"/>
    </w:pPr>
    <w:rPr>
      <w:sz w:val="18"/>
      <w:szCs w:val="18"/>
    </w:rPr>
  </w:style>
  <w:style w:type="paragraph" w:customStyle="1" w:styleId="138">
    <w:name w:val="图的脚注"/>
    <w:next w:val="27"/>
    <w:qFormat/>
    <w:uiPriority w:val="0"/>
    <w:pPr>
      <w:widowControl w:val="0"/>
      <w:ind w:left="840" w:leftChars="200" w:hanging="420" w:hangingChars="200"/>
      <w:jc w:val="both"/>
    </w:pPr>
    <w:rPr>
      <w:rFonts w:ascii="宋体" w:hAnsi="Times New Roman" w:eastAsia="宋体" w:cs="Times New Roman"/>
      <w:sz w:val="18"/>
      <w:lang w:val="en-US" w:eastAsia="zh-CN" w:bidi="ar-SA"/>
    </w:rPr>
  </w:style>
  <w:style w:type="paragraph" w:customStyle="1" w:styleId="139">
    <w:name w:val="正文公式编号制表符"/>
    <w:basedOn w:val="27"/>
    <w:next w:val="27"/>
    <w:qFormat/>
    <w:uiPriority w:val="0"/>
    <w:pPr>
      <w:ind w:firstLine="0" w:firstLineChars="0"/>
    </w:pPr>
  </w:style>
  <w:style w:type="paragraph" w:customStyle="1" w:styleId="140">
    <w:name w:val="终结线"/>
    <w:basedOn w:val="1"/>
    <w:qFormat/>
    <w:uiPriority w:val="0"/>
    <w:pPr>
      <w:framePr w:hSpace="181" w:vSpace="181" w:wrap="around" w:vAnchor="text" w:hAnchor="margin" w:xAlign="center" w:y="285"/>
    </w:pPr>
  </w:style>
  <w:style w:type="paragraph" w:styleId="141">
    <w:name w:val="List Paragraph"/>
    <w:basedOn w:val="1"/>
    <w:qFormat/>
    <w:uiPriority w:val="34"/>
    <w:pPr>
      <w:ind w:firstLine="420"/>
    </w:pPr>
  </w:style>
  <w:style w:type="paragraph" w:customStyle="1" w:styleId="142">
    <w:name w:val="图标标题"/>
    <w:basedOn w:val="1"/>
    <w:qFormat/>
    <w:uiPriority w:val="0"/>
    <w:pPr>
      <w:spacing w:before="163" w:beforeLines="50" w:after="163" w:afterLines="50"/>
      <w:jc w:val="center"/>
    </w:pPr>
    <w:rPr>
      <w:rFonts w:ascii="黑体" w:hAnsi="黑体" w:eastAsia="黑体"/>
      <w:b/>
      <w:szCs w:val="21"/>
    </w:rPr>
  </w:style>
  <w:style w:type="character" w:customStyle="1" w:styleId="143">
    <w:name w:val="页脚 Char"/>
    <w:link w:val="21"/>
    <w:qFormat/>
    <w:uiPriority w:val="0"/>
    <w:rPr>
      <w:kern w:val="2"/>
      <w:sz w:val="18"/>
      <w:szCs w:val="18"/>
    </w:rPr>
  </w:style>
  <w:style w:type="character" w:customStyle="1" w:styleId="144">
    <w:name w:val="页眉 Char"/>
    <w:link w:val="22"/>
    <w:qFormat/>
    <w:uiPriority w:val="0"/>
    <w:rPr>
      <w:kern w:val="2"/>
      <w:sz w:val="18"/>
      <w:szCs w:val="18"/>
    </w:rPr>
  </w:style>
  <w:style w:type="paragraph" w:customStyle="1" w:styleId="145">
    <w:name w:val="标准文件_字母编号列项（一级）"/>
    <w:qFormat/>
    <w:uiPriority w:val="0"/>
    <w:pPr>
      <w:jc w:val="both"/>
    </w:pPr>
    <w:rPr>
      <w:rFonts w:ascii="宋体" w:hAnsi="Times New Roman" w:eastAsia="宋体" w:cs="Times New Roman"/>
      <w:sz w:val="21"/>
      <w:lang w:val="en-US" w:eastAsia="zh-CN" w:bidi="ar-SA"/>
    </w:rPr>
  </w:style>
  <w:style w:type="paragraph" w:customStyle="1" w:styleId="146">
    <w:name w:val="标准文件_数字编号列项（二级）"/>
    <w:qFormat/>
    <w:uiPriority w:val="0"/>
    <w:pPr>
      <w:numPr>
        <w:ilvl w:val="1"/>
        <w:numId w:val="12"/>
      </w:numPr>
      <w:tabs>
        <w:tab w:val="left" w:pos="851"/>
      </w:tabs>
      <w:jc w:val="both"/>
    </w:pPr>
    <w:rPr>
      <w:rFonts w:ascii="宋体" w:hAnsi="Times New Roman" w:eastAsia="宋体" w:cs="Times New Roman"/>
      <w:sz w:val="21"/>
      <w:lang w:val="en-US" w:eastAsia="zh-CN" w:bidi="ar-SA"/>
    </w:rPr>
  </w:style>
  <w:style w:type="paragraph" w:customStyle="1" w:styleId="147">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48">
    <w:name w:val="要求"/>
    <w:basedOn w:val="1"/>
    <w:qFormat/>
    <w:uiPriority w:val="0"/>
    <w:pPr>
      <w:widowControl/>
      <w:tabs>
        <w:tab w:val="center" w:pos="4201"/>
        <w:tab w:val="right" w:leader="dot" w:pos="9298"/>
      </w:tabs>
      <w:snapToGrid w:val="0"/>
      <w:ind w:left="200" w:leftChars="200" w:firstLine="200" w:firstLineChars="200"/>
    </w:pPr>
    <w:rPr>
      <w:rFonts w:ascii="宋体"/>
      <w:szCs w:val="20"/>
    </w:rPr>
  </w:style>
  <w:style w:type="paragraph" w:customStyle="1" w:styleId="149">
    <w:name w:val="标准文件_二级无标题"/>
    <w:basedOn w:val="150"/>
    <w:qFormat/>
    <w:uiPriority w:val="0"/>
    <w:pPr>
      <w:spacing w:before="0" w:beforeLines="0" w:after="0" w:afterLines="0"/>
      <w:outlineLvl w:val="9"/>
    </w:pPr>
    <w:rPr>
      <w:rFonts w:ascii="宋体" w:eastAsia="宋体"/>
    </w:rPr>
  </w:style>
  <w:style w:type="paragraph" w:customStyle="1" w:styleId="150">
    <w:name w:val="标准文件_二级条标题"/>
    <w:next w:val="147"/>
    <w:qFormat/>
    <w:uiPriority w:val="0"/>
    <w:pPr>
      <w:widowControl w:val="0"/>
      <w:numPr>
        <w:ilvl w:val="3"/>
        <w:numId w:val="18"/>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151">
    <w:name w:val="标题 1 Char"/>
    <w:basedOn w:val="38"/>
    <w:link w:val="4"/>
    <w:qFormat/>
    <w:uiPriority w:val="0"/>
    <w:rPr>
      <w:b/>
      <w:bCs/>
      <w:kern w:val="44"/>
      <w:sz w:val="44"/>
      <w:szCs w:val="44"/>
    </w:rPr>
  </w:style>
  <w:style w:type="paragraph" w:customStyle="1" w:styleId="152">
    <w:name w:val="TOC Heading"/>
    <w:basedOn w:val="4"/>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153">
    <w:name w:val="标准文件_一级条标题"/>
    <w:basedOn w:val="154"/>
    <w:next w:val="147"/>
    <w:qFormat/>
    <w:uiPriority w:val="0"/>
    <w:pPr>
      <w:numPr>
        <w:ilvl w:val="2"/>
      </w:numPr>
      <w:spacing w:before="50" w:beforeLines="50" w:after="50" w:afterLines="50"/>
      <w:outlineLvl w:val="1"/>
    </w:pPr>
  </w:style>
  <w:style w:type="paragraph" w:customStyle="1" w:styleId="154">
    <w:name w:val="标准文件_章标题"/>
    <w:next w:val="147"/>
    <w:qFormat/>
    <w:uiPriority w:val="0"/>
    <w:pPr>
      <w:numPr>
        <w:ilvl w:val="1"/>
        <w:numId w:val="18"/>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55">
    <w:name w:val="标准文件_三级条标题"/>
    <w:basedOn w:val="150"/>
    <w:next w:val="147"/>
    <w:qFormat/>
    <w:uiPriority w:val="0"/>
    <w:pPr>
      <w:widowControl/>
      <w:numPr>
        <w:ilvl w:val="4"/>
      </w:numPr>
      <w:outlineLvl w:val="3"/>
    </w:pPr>
  </w:style>
  <w:style w:type="paragraph" w:customStyle="1" w:styleId="156">
    <w:name w:val="标准文件_三级无标题"/>
    <w:basedOn w:val="155"/>
    <w:qFormat/>
    <w:uiPriority w:val="0"/>
    <w:pPr>
      <w:spacing w:beforeLines="0" w:afterLines="0"/>
      <w:outlineLvl w:val="9"/>
    </w:pPr>
    <w:rPr>
      <w:rFonts w:ascii="宋体" w:eastAsia="宋体"/>
    </w:rPr>
  </w:style>
  <w:style w:type="paragraph" w:customStyle="1" w:styleId="157">
    <w:name w:val="标准文件_一级项"/>
    <w:qFormat/>
    <w:uiPriority w:val="0"/>
    <w:pPr>
      <w:numPr>
        <w:ilvl w:val="0"/>
        <w:numId w:val="14"/>
      </w:numPr>
      <w:tabs>
        <w:tab w:val="left" w:pos="851"/>
        <w:tab w:val="left" w:pos="1136"/>
        <w:tab w:val="left" w:pos="1844"/>
      </w:tabs>
    </w:pPr>
    <w:rPr>
      <w:rFonts w:ascii="宋体" w:hAnsi="Times New Roman" w:eastAsia="宋体" w:cs="Times New Roman"/>
      <w:sz w:val="21"/>
      <w:lang w:val="en-US" w:eastAsia="zh-CN" w:bidi="ar-SA"/>
    </w:rPr>
  </w:style>
  <w:style w:type="paragraph" w:customStyle="1" w:styleId="158">
    <w:name w:val="标准文件_附录二级条标题"/>
    <w:basedOn w:val="159"/>
    <w:next w:val="147"/>
    <w:qFormat/>
    <w:uiPriority w:val="0"/>
    <w:pPr>
      <w:widowControl/>
      <w:numPr>
        <w:ilvl w:val="2"/>
      </w:numPr>
      <w:wordWrap w:val="0"/>
      <w:overflowPunct w:val="0"/>
      <w:autoSpaceDE w:val="0"/>
      <w:autoSpaceDN w:val="0"/>
      <w:textAlignment w:val="baseline"/>
      <w:outlineLvl w:val="3"/>
    </w:pPr>
  </w:style>
  <w:style w:type="paragraph" w:customStyle="1" w:styleId="159">
    <w:name w:val="标准文件_附录一级条标题"/>
    <w:next w:val="147"/>
    <w:qFormat/>
    <w:uiPriority w:val="0"/>
    <w:pPr>
      <w:widowControl w:val="0"/>
      <w:numPr>
        <w:ilvl w:val="1"/>
        <w:numId w:val="8"/>
      </w:numPr>
      <w:spacing w:beforeLines="50" w:afterLines="50"/>
      <w:jc w:val="both"/>
      <w:outlineLvl w:val="2"/>
    </w:pPr>
    <w:rPr>
      <w:rFonts w:ascii="黑体" w:hAnsi="Times New Roman" w:eastAsia="黑体" w:cs="Times New Roman"/>
      <w:kern w:val="21"/>
      <w:sz w:val="21"/>
      <w:lang w:val="en-US" w:eastAsia="zh-CN" w:bidi="ar-SA"/>
    </w:rPr>
  </w:style>
  <w:style w:type="paragraph" w:customStyle="1" w:styleId="160">
    <w:name w:val="标准文件_页眉偶数页"/>
    <w:basedOn w:val="161"/>
    <w:next w:val="1"/>
    <w:qFormat/>
    <w:uiPriority w:val="0"/>
    <w:pPr>
      <w:tabs>
        <w:tab w:val="center" w:pos="4154"/>
        <w:tab w:val="right" w:pos="8306"/>
      </w:tabs>
      <w:jc w:val="left"/>
    </w:pPr>
  </w:style>
  <w:style w:type="paragraph" w:customStyle="1" w:styleId="1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162">
    <w:name w:val="标准文件_附录表标题"/>
    <w:next w:val="147"/>
    <w:qFormat/>
    <w:uiPriority w:val="0"/>
    <w:pPr>
      <w:numPr>
        <w:ilvl w:val="1"/>
        <w:numId w:val="19"/>
      </w:numPr>
      <w:adjustRightInd w:val="0"/>
      <w:snapToGrid w:val="0"/>
      <w:spacing w:beforeLines="50" w:afterLines="50"/>
      <w:jc w:val="center"/>
      <w:textAlignment w:val="baseline"/>
    </w:pPr>
    <w:rPr>
      <w:rFonts w:ascii="黑体" w:hAnsi="Times New Roman" w:eastAsia="黑体" w:cs="Times New Roman"/>
      <w:kern w:val="21"/>
      <w:sz w:val="21"/>
      <w:lang w:val="en-US" w:eastAsia="zh-CN" w:bidi="ar-SA"/>
    </w:rPr>
  </w:style>
  <w:style w:type="paragraph" w:customStyle="1" w:styleId="163">
    <w:name w:val="安评2级"/>
    <w:basedOn w:val="1"/>
    <w:next w:val="1"/>
    <w:qFormat/>
    <w:uiPriority w:val="0"/>
    <w:pPr>
      <w:keepNext/>
      <w:keepLines/>
      <w:widowControl/>
      <w:numPr>
        <w:ilvl w:val="1"/>
        <w:numId w:val="20"/>
      </w:numPr>
      <w:adjustRightInd w:val="0"/>
      <w:snapToGrid w:val="0"/>
      <w:spacing w:line="360" w:lineRule="auto"/>
      <w:outlineLvl w:val="1"/>
    </w:pPr>
    <w:rPr>
      <w:rFonts w:hint="eastAsia" w:ascii="黑体" w:hAnsi="黑体" w:eastAsia="黑体" w:cs="黑体"/>
      <w:b/>
      <w:bCs/>
      <w:sz w:val="30"/>
      <w:szCs w:val="30"/>
    </w:rPr>
  </w:style>
  <w:style w:type="paragraph" w:customStyle="1" w:styleId="164">
    <w:name w:val="标准文件_正文表标题"/>
    <w:next w:val="147"/>
    <w:qFormat/>
    <w:uiPriority w:val="0"/>
    <w:pPr>
      <w:numPr>
        <w:ilvl w:val="0"/>
        <w:numId w:val="5"/>
      </w:numPr>
      <w:tabs>
        <w:tab w:val="left" w:pos="0"/>
      </w:tabs>
      <w:spacing w:beforeLines="50" w:afterLines="50"/>
      <w:jc w:val="center"/>
    </w:pPr>
    <w:rPr>
      <w:rFonts w:ascii="黑体" w:hAnsi="Times New Roman" w:eastAsia="黑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3.xml"/><Relationship Id="rId38" Type="http://schemas.openxmlformats.org/officeDocument/2006/relationships/customXml" Target="../customXml/item2.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media/image1.png"/><Relationship Id="rId34" Type="http://schemas.openxmlformats.org/officeDocument/2006/relationships/theme" Target="theme/theme1.xml"/><Relationship Id="rId33" Type="http://schemas.openxmlformats.org/officeDocument/2006/relationships/footer" Target="footer16.xml"/><Relationship Id="rId32" Type="http://schemas.openxmlformats.org/officeDocument/2006/relationships/footer" Target="footer15.xml"/><Relationship Id="rId31" Type="http://schemas.openxmlformats.org/officeDocument/2006/relationships/header" Target="header15.xml"/><Relationship Id="rId30" Type="http://schemas.openxmlformats.org/officeDocument/2006/relationships/header" Target="header14.xml"/><Relationship Id="rId3" Type="http://schemas.openxmlformats.org/officeDocument/2006/relationships/header" Target="header1.xml"/><Relationship Id="rId29" Type="http://schemas.openxmlformats.org/officeDocument/2006/relationships/footer" Target="footer14.xml"/><Relationship Id="rId28" Type="http://schemas.openxmlformats.org/officeDocument/2006/relationships/footer" Target="footer13.xml"/><Relationship Id="rId27" Type="http://schemas.openxmlformats.org/officeDocument/2006/relationships/header" Target="header13.xml"/><Relationship Id="rId26" Type="http://schemas.openxmlformats.org/officeDocument/2006/relationships/footer" Target="footer12.xml"/><Relationship Id="rId25" Type="http://schemas.openxmlformats.org/officeDocument/2006/relationships/footer" Target="footer11.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footer" Target="footer10.xml"/><Relationship Id="rId21" Type="http://schemas.openxmlformats.org/officeDocument/2006/relationships/footer" Target="footer9.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7880\Desktop\&#38470;&#22320;&#27833;&#27668;&#31649;&#36947;&#31532;&#19977;&#26041;&#25439;&#22351;&#39118;&#38505;&#38450;&#33539;&#25216;&#26415;&#35268;&#33539;-0828.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2"/>
        </a:lnRef>
        <a:fillRef idx="0">
          <a:schemeClr val="accent2"/>
        </a:fillRef>
        <a:effectRef idx="0">
          <a:schemeClr val="accent2"/>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33891eb5-c258-475b-810f-677e07245a04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4AA37EF5</paraID>
      <start>0</start>
      <end>2</end>
      <status>unmodified</status>
      <modifiedWord/>
      <trackRevisions>false</trackRevisions>
    </reviewItem>
    <reviewItem>
      <errorID>1545aed7-1d86-4de1-a994-6fc4f6866fc2</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3D771CE5</paraID>
      <start>0</start>
      <end>2</end>
      <status>unmodified</status>
      <modifiedWord/>
      <trackRevisions>false</trackRevisions>
    </reviewItem>
    <reviewItem>
      <errorID>151ff918-1ce3-4668-906d-f6d8e95b5e49</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62F5A168</paraID>
      <start>0</start>
      <end>2</end>
      <status>unmodified</status>
      <modifiedWord/>
      <trackRevisions>false</trackRevisions>
    </reviewItem>
    <reviewItem>
      <errorID>bff68060-5eaf-4395-9eae-1cab8e9c240a</errorID>
      <errorWord>及救</errorWord>
      <group>L1_Word</group>
      <groupName>字词问题</groupName>
      <ability>L2_Typo</ability>
      <abilityName>字词错误</abilityName>
      <candidateList>
        <item>急救</item>
      </candidateList>
      <explain>存在发音相同字词的误用。</explain>
      <paraID>18A72308</paraID>
      <start>2</start>
      <end>4</end>
      <status>unmodified</status>
      <modifiedWord/>
      <trackRevisions>false</trackRevisions>
    </reviewItem>
    <reviewItem>
      <errorID>735d8eda-046d-4544-bbaf-6ceecedda735</errorID>
      <errorWord>登陆</errorWord>
      <group>L1_Word</group>
      <groupName>字词问题</groupName>
      <ability>L2_Typo</ability>
      <abilityName>字词错误</abilityName>
      <candidateList>
        <item>登录</item>
      </candidateList>
      <explain>存在发音相同字词的误用。</explain>
      <paraID>74D66F96</paraID>
      <start>0</start>
      <end>2</end>
      <status>unmodified</status>
      <modifiedWord/>
      <trackRevisions>false</trackRevisions>
    </reviewItem>
    <reviewItem>
      <errorID>11edcf4a-53bd-4b0f-a904-a2a0c1d47e75</errorID>
      <errorWord>晰</errorWord>
      <group>L1_Word</group>
      <groupName>字词问题</groupName>
      <ability>L2_Typo</ability>
      <abilityName>字词错误</abilityName>
      <candidateList>
        <item>晰地</item>
      </candidateList>
      <explain/>
      <paraID>25A1A501</paraID>
      <start>9</start>
      <end>10</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b7a079-c72a-4298-9d55-bb2aa3b51b5e}">
  <ds:schemaRefs/>
</ds:datastoreItem>
</file>

<file path=customXml/itemProps3.xml><?xml version="1.0" encoding="utf-8"?>
<ds:datastoreItem xmlns:ds="http://schemas.openxmlformats.org/officeDocument/2006/customXml" ds:itemID="{81D60732-883D-41EF-BC17-37642B983D1E}">
  <ds:schemaRefs/>
</ds:datastoreItem>
</file>

<file path=docProps/app.xml><?xml version="1.0" encoding="utf-8"?>
<Properties xmlns="http://schemas.openxmlformats.org/officeDocument/2006/extended-properties" xmlns:vt="http://schemas.openxmlformats.org/officeDocument/2006/docPropsVTypes">
  <Template>陆地油气管道第三方损坏风险防范技术规范-0828.dotx</Template>
  <Company>zle</Company>
  <Pages>39</Pages>
  <Words>5401</Words>
  <Characters>5622</Characters>
  <Lines>21</Lines>
  <Paragraphs>17</Paragraphs>
  <TotalTime>0</TotalTime>
  <ScaleCrop>false</ScaleCrop>
  <LinksUpToDate>false</LinksUpToDate>
  <CharactersWithSpaces>5706</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2023-12-28T08:49:00Z</dcterms:created>
  <dc:creator>huan liu</dc:creator>
  <cp:lastModifiedBy>LSJ</cp:lastModifiedBy>
  <cp:lastPrinted>2023-12-28T08:50:00Z</cp:lastPrinted>
  <dcterms:modified xsi:type="dcterms:W3CDTF">2026-09-28T02:19:12Z</dcterms:modified>
  <dc:title>标准名称</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0A480D2E1760489AAA7B0BECBC402B0E_13</vt:lpwstr>
  </property>
  <property fmtid="{D5CDD505-2E9C-101B-9397-08002B2CF9AE}" pid="4" name="KSOTemplateDocerSaveRecord">
    <vt:lpwstr>eyJoZGlkIjoiYzQxM2VmMTA4MWExYmZiZDExYjBmMzdlMjA2MjI1ZmYiLCJ1c2VySWQiOiIxMjE0NTQ5NzIzIn0=</vt:lpwstr>
  </property>
</Properties>
</file>